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55DC" w14:textId="2341EA34" w:rsidR="00175FF5" w:rsidRDefault="00443889" w:rsidP="00616723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953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PATVIRTINTA</w:t>
      </w:r>
    </w:p>
    <w:p w14:paraId="76591C75" w14:textId="2A5EFB85" w:rsidR="00443889" w:rsidRDefault="00443889" w:rsidP="00616723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953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Lietuvos Respublikos švietimo, mokslo ir sporto ministro</w:t>
      </w:r>
    </w:p>
    <w:p w14:paraId="6E2755DE" w14:textId="47E15DD3" w:rsidR="00175FF5" w:rsidRDefault="00443889" w:rsidP="00616723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953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2019 m. gegužės 22 d. įsakymu </w:t>
      </w:r>
    </w:p>
    <w:p w14:paraId="6E2755DF" w14:textId="2BD93D4C" w:rsidR="00175FF5" w:rsidRDefault="00443889" w:rsidP="00616723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953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Nr. V-620</w:t>
      </w:r>
    </w:p>
    <w:p w14:paraId="6E2755E0" w14:textId="77777777" w:rsidR="00175FF5" w:rsidRDefault="00175FF5" w:rsidP="00616723">
      <w:pPr>
        <w:keepLines/>
        <w:tabs>
          <w:tab w:val="left" w:pos="1304"/>
          <w:tab w:val="left" w:pos="1457"/>
          <w:tab w:val="left" w:pos="1604"/>
          <w:tab w:val="left" w:pos="1757"/>
        </w:tabs>
        <w:suppressAutoHyphens/>
        <w:ind w:left="5953"/>
        <w:textAlignment w:val="center"/>
        <w:rPr>
          <w:color w:val="000000"/>
          <w:szCs w:val="24"/>
        </w:rPr>
      </w:pPr>
    </w:p>
    <w:p w14:paraId="6E2755E1" w14:textId="77777777" w:rsidR="00175FF5" w:rsidRDefault="00443889" w:rsidP="00616723">
      <w:pPr>
        <w:keepLines/>
        <w:suppressAutoHyphens/>
        <w:jc w:val="center"/>
        <w:textAlignment w:val="center"/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>valstybės (strateginiai) švietimo stebėsenos rodikliai</w:t>
      </w:r>
    </w:p>
    <w:p w14:paraId="6E2755E2" w14:textId="77777777" w:rsidR="00175FF5" w:rsidRDefault="00175FF5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</w:p>
    <w:p w14:paraId="6E2755E3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1. Valstybės (strateginiai) švietimo stebėsenos rodikliai suskirstyti grupėmis pagal tai, kurią švietimo sistemos komponentą apibūdina: švietimo kontekstą, indėlį į švietimą, švietimo procesus, švietimo rezultatus ar švietimo sistemos stebėjimą (</w:t>
      </w:r>
      <w:proofErr w:type="spellStart"/>
      <w:r>
        <w:rPr>
          <w:color w:val="000000"/>
          <w:szCs w:val="24"/>
        </w:rPr>
        <w:t>metarodiklis</w:t>
      </w:r>
      <w:proofErr w:type="spellEnd"/>
      <w:r>
        <w:rPr>
          <w:color w:val="000000"/>
          <w:szCs w:val="24"/>
        </w:rPr>
        <w:t>).</w:t>
      </w:r>
    </w:p>
    <w:p w14:paraId="6E2755E4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2. Švietimo konteksto rodikliai (parodo išorines sąlygas ir reikmes, darančias poveikį švietimo sistemos procesams):</w:t>
      </w:r>
    </w:p>
    <w:p w14:paraId="6E2755E5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2.1. Švietimo aplinka:</w:t>
      </w:r>
    </w:p>
    <w:p w14:paraId="6E2755E6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2.1.1. gyventojų skaičiaus pokytis;</w:t>
      </w:r>
    </w:p>
    <w:p w14:paraId="6E2755E7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2.1.2. niekur nedirbančių ir nesimokančių darbingo amžiaus asmenų dalis;</w:t>
      </w:r>
    </w:p>
    <w:p w14:paraId="6E2755E8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2.1.3. gyventojų, kurie gyvena žemiau skurdo ribos, dalis;</w:t>
      </w:r>
    </w:p>
    <w:p w14:paraId="6E2755E9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2.1.4. asmenų, įtariamų (kaltinamų) p</w:t>
      </w:r>
      <w:bookmarkStart w:id="0" w:name="_GoBack"/>
      <w:bookmarkEnd w:id="0"/>
      <w:r>
        <w:rPr>
          <w:color w:val="000000"/>
          <w:szCs w:val="24"/>
        </w:rPr>
        <w:t>adarius nusikalstamas veikas, dalis;</w:t>
      </w:r>
    </w:p>
    <w:p w14:paraId="6E2755EA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2.1.5. savižudybių skaičius 100 000 gyventojų;</w:t>
      </w:r>
    </w:p>
    <w:p w14:paraId="6E2755EB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2.1.6. bendrasis vidaus produktas, tenkantis vienam gyventojui.</w:t>
      </w:r>
    </w:p>
    <w:p w14:paraId="6E2755EC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3. Indėlio į švietimą rodikliai (parodo pastangas ir (arba) išteklius, reikalingus švietimo sistemai veikti ir tikslams pasiekti):</w:t>
      </w:r>
    </w:p>
    <w:p w14:paraId="6E2755ED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3.1. Besimokančiųjų  ar studijuojančių  pasiskirstymas pagal lytį.</w:t>
      </w:r>
    </w:p>
    <w:p w14:paraId="6E2755EE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3.2. Personalo charakteristika:</w:t>
      </w:r>
    </w:p>
    <w:p w14:paraId="6E2755EF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3.2.1. vidutinis pedagoginio personalo amžius;</w:t>
      </w:r>
    </w:p>
    <w:p w14:paraId="6E2755F0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3.2.2. pedagoginio personalo pasiskirstymas pagal lytį;</w:t>
      </w:r>
    </w:p>
    <w:p w14:paraId="6E2755F1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3.2.3. aukštos kvalifikacijos pedagoginio personalo dalis;</w:t>
      </w:r>
    </w:p>
    <w:p w14:paraId="6E2755F2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3.2.4. švietimo įstaigų vadovų pasiskirstymas pagal amžių;</w:t>
      </w:r>
    </w:p>
    <w:p w14:paraId="6E2755F3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3.2.5. švietimo įstaigų vadovų pasiskirstymas pagal lytį.</w:t>
      </w:r>
    </w:p>
    <w:p w14:paraId="6E2755F4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3.3. Materialieji ir finansiniai ištekliai:</w:t>
      </w:r>
    </w:p>
    <w:p w14:paraId="6E2755F5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3.3.1. valstybės ir savivaldybių biudžetų išlaidos švietimui kaip BVP dalis;</w:t>
      </w:r>
    </w:p>
    <w:p w14:paraId="6E2755F6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 xml:space="preserve">3.3.2. vidutinės vienam </w:t>
      </w:r>
      <w:proofErr w:type="spellStart"/>
      <w:r>
        <w:rPr>
          <w:color w:val="000000"/>
          <w:szCs w:val="24"/>
        </w:rPr>
        <w:t>besimokančiamar</w:t>
      </w:r>
      <w:proofErr w:type="spellEnd"/>
      <w:r>
        <w:rPr>
          <w:color w:val="000000"/>
          <w:szCs w:val="24"/>
        </w:rPr>
        <w:t xml:space="preserve"> studijuojančiam asmeniui tekusios lėšos;</w:t>
      </w:r>
    </w:p>
    <w:p w14:paraId="6E2755F7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3.3.3. fizinių ir juridinių asmenų skiriamų lėšų švietimui dalis;</w:t>
      </w:r>
    </w:p>
    <w:p w14:paraId="6E2755F8" w14:textId="77777777" w:rsidR="00175FF5" w:rsidRDefault="00443889" w:rsidP="00616723">
      <w:pPr>
        <w:suppressAutoHyphens/>
        <w:ind w:firstLine="312"/>
        <w:jc w:val="both"/>
        <w:textAlignment w:val="center"/>
        <w:rPr>
          <w:rFonts w:eastAsia="Calibri"/>
          <w:bCs/>
          <w:color w:val="000000"/>
          <w:szCs w:val="24"/>
        </w:rPr>
      </w:pPr>
      <w:r>
        <w:rPr>
          <w:rFonts w:eastAsia="Calibri"/>
          <w:bCs/>
          <w:color w:val="000000"/>
          <w:szCs w:val="24"/>
        </w:rPr>
        <w:t>3.3.4. švietimo įstaigų, kurių nė vienai pastato daliai nereikia kapitalinio remonto, dalis;</w:t>
      </w:r>
    </w:p>
    <w:p w14:paraId="6E2755F9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3.3.5. švietimo įstaigų, pritaikytų neįgaliesiems, dalis;</w:t>
      </w:r>
      <w:r>
        <w:rPr>
          <w:rFonts w:eastAsia="Calibri"/>
          <w:bCs/>
          <w:color w:val="000000"/>
          <w:szCs w:val="24"/>
        </w:rPr>
        <w:t> </w:t>
      </w:r>
    </w:p>
    <w:p w14:paraId="6E2755FA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3.3.6. švietimo įstaigų, turinčių standartus atitinkančias laboratorijas ir / ar technikos kabinetus, dalis.</w:t>
      </w:r>
    </w:p>
    <w:p w14:paraId="6E2755FB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4. Švietimo procesų rodikliai (parodo priežastiniais ryšiais susijusių švietimo sistemos pokyčių eigą):</w:t>
      </w:r>
    </w:p>
    <w:p w14:paraId="6E2755FC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4.1. Mokymas, mokymasis ir studijos:</w:t>
      </w:r>
    </w:p>
    <w:p w14:paraId="6E2755FD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4.1.1. besimokančiųjų ar studijuojančių fizinius ir technologinius mokslus dalis;</w:t>
      </w:r>
    </w:p>
    <w:p w14:paraId="6E2755FE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4.1.2. besimokančiųjų ar studijuojančių Lietuvoje kitų šalių piliečių skaičius;</w:t>
      </w:r>
    </w:p>
    <w:p w14:paraId="6E2755FF" w14:textId="77777777" w:rsidR="00175FF5" w:rsidRDefault="00443889" w:rsidP="00616723">
      <w:pPr>
        <w:suppressAutoHyphens/>
        <w:ind w:firstLine="310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4.1.3. besimokančiųjų ar studijuojančių dalis amžiaus grupėje;</w:t>
      </w:r>
    </w:p>
    <w:p w14:paraId="6E275600" w14:textId="77777777" w:rsidR="00175FF5" w:rsidRDefault="00443889" w:rsidP="00616723">
      <w:pPr>
        <w:suppressAutoHyphens/>
        <w:ind w:firstLine="310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4.1.4. besimokančiųjų ar studijuojančių neįgaliųjų dalis amžiaus grupėje.</w:t>
      </w:r>
    </w:p>
    <w:p w14:paraId="6E275601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4.2. Ugdymo procesų organizavimas ir valdymas:</w:t>
      </w:r>
    </w:p>
    <w:p w14:paraId="6E275602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4.2.1. pedagogų kontaktinių darbo valandų dalis  lyginant su visu pedagogų darbo laiku;</w:t>
      </w:r>
    </w:p>
    <w:p w14:paraId="6E275603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4.2.2. pedagogų ir administracinio bei kito personalo skaičiaus santykis;</w:t>
      </w:r>
    </w:p>
    <w:p w14:paraId="6E275604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4.2.3. vidutinis mokinių skaičius klasės komplekte ar grupėje;</w:t>
      </w:r>
    </w:p>
    <w:p w14:paraId="6E275605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4.2.4. teigiamai įvertintų aukštųjų mokyklų dalis;</w:t>
      </w:r>
    </w:p>
    <w:p w14:paraId="6E275606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4.2.5.  mokytojų ir mokinių skaičiaus santykis;</w:t>
      </w:r>
    </w:p>
    <w:p w14:paraId="6E275607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4.2.6. pedagoginio personalo, kuris dalyvavo tarptautinėse mainų programose per praėjusius 5 metus, dalis;</w:t>
      </w:r>
    </w:p>
    <w:p w14:paraId="6E275608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4.2.7. vienam pedagogo etatiniam vienetui tenkančių besimokančiųjų ar studijuojančių skaičius.</w:t>
      </w:r>
    </w:p>
    <w:p w14:paraId="6E275609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lastRenderedPageBreak/>
        <w:t>5. Švietimo rezultatų rodikliai (parodo būvį pasibaigus tam tikram švietimo proceso etapui arba švietimo sukurtą produktą):</w:t>
      </w:r>
    </w:p>
    <w:p w14:paraId="6E27560A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5.1. Švietimo rezultatas:</w:t>
      </w:r>
    </w:p>
    <w:p w14:paraId="6E27560B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pacing w:val="-2"/>
          <w:szCs w:val="24"/>
        </w:rPr>
        <w:t xml:space="preserve">5.1.1. </w:t>
      </w:r>
      <w:r>
        <w:rPr>
          <w:color w:val="000000"/>
          <w:szCs w:val="24"/>
        </w:rPr>
        <w:t xml:space="preserve">mokinių, Ekonominio bendradarbiavimo ir plėtros organizacijos (toliau – EBPO) tarptautiniame penkiolikmečių tyrime (toliau – PISA) pasiekusių ne žemesnį </w:t>
      </w:r>
      <w:r>
        <w:rPr>
          <w:color w:val="000000"/>
          <w:spacing w:val="-2"/>
          <w:szCs w:val="24"/>
        </w:rPr>
        <w:t>kaip 3 skaitymo pasiekimų lygį, dalis;</w:t>
      </w:r>
    </w:p>
    <w:p w14:paraId="6E27560C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5.1.2. mokinių, EBPO PISA tyrime pasiekusių ne žemesnį kaip 3 matematikos pasiekimų lygį, dalis;</w:t>
      </w:r>
    </w:p>
    <w:p w14:paraId="6E27560D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5.1.3. mokinių, EBPO PISA tyrime pasiekusių ne žemesnį kaip 3 gamtos mokslų pasiekimų lygį, dalis;</w:t>
      </w:r>
    </w:p>
    <w:p w14:paraId="6E27560E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5.1.4. 16–74 metų amžiaus asmenų, kurie naudojasi kompiuteriu ir internetu, dalis;</w:t>
      </w:r>
    </w:p>
    <w:p w14:paraId="6E27560F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5.1.5. išsilavinimą ir / ar kvalifikaciją įgijusių asmenų dalis;</w:t>
      </w:r>
    </w:p>
    <w:p w14:paraId="6E275610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5.1.6. 20–24 ir 30–34 metų asmenų, įgijusių išsilavinimą, dalis;</w:t>
      </w:r>
    </w:p>
    <w:p w14:paraId="6E275611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5.1.7. asmenų, nutraukusių mokymąsi / studijas, dalis;</w:t>
      </w:r>
    </w:p>
    <w:p w14:paraId="6E275612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5.1.8. 4 klasės mokinių tarptautinio skaitymo gebėjimų tyrimo (angl. PIRLS) rezultatų procentinis pasiskirstymas pagal tarptautinius skaitymo gebėjimų pasiekimų lygmenis;</w:t>
      </w:r>
    </w:p>
    <w:p w14:paraId="6E275613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5.1.9. 4 klasės tarptautinio matematikos ir gamtos mokslų gebėjimų tyrimo (angl. TIMSS) rezultatų procentinis pasiskirstymas pagal tarptautinius matematikos ir gamtos mokslų pasiekimų lygmenis;</w:t>
      </w:r>
    </w:p>
    <w:p w14:paraId="6E275614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5.1.10. 8 klasės tarptautinio matematikos ir gamtos mokslų gebėjimų tyrimo (angl. TIMSS) rezultatų procentinis pasiskirstymas pagal tarptautinius matematikos ir gamtos mokslų pasiekimų lygmenis;</w:t>
      </w:r>
    </w:p>
    <w:p w14:paraId="6E275615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5.1.11. 8 klasės tarptautinio pilietinio ugdymo ir pilietiškumo tyrimo (angl. ICCS) rezultatų procentinis pasiskirstymas pagal tarptautinio pilietinio ugdymo ir pilietiškumo pasiekimų lygmenis;</w:t>
      </w:r>
    </w:p>
    <w:p w14:paraId="6E275616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5.1.12. tarptautinių olimpiadų ir konkursų 1–3 vietų, aukso, sidabro ir bronzos laimėtojų tenkančių 10000 mokinių;</w:t>
      </w:r>
    </w:p>
    <w:p w14:paraId="6E275617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5.1.13. bendrojo ugdymo efektyvumo (bendrojo ugdymo mokyklose) koeficientas.</w:t>
      </w:r>
    </w:p>
    <w:p w14:paraId="6E275618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5.2. Švietimo pasekmės:</w:t>
      </w:r>
    </w:p>
    <w:p w14:paraId="6E275619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5.2.1. darbingo amžiaus gyventojų pasiskirstymas pagal aukščiausią įgytą išsilavinimą;</w:t>
      </w:r>
    </w:p>
    <w:p w14:paraId="6E27561A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5.2.2. absolventų, registruotų Užimtumo tarnyboje  (po metų nuo baigimo), dalis;</w:t>
      </w:r>
    </w:p>
    <w:p w14:paraId="6E27561B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5.2.3. baigusiųjų ir tais pačiais metais tęsiančių mokymąsi ar studijas kitame švietimo lygmenyje arba įsidarbinusių mokinių / studentų dalis.</w:t>
      </w:r>
    </w:p>
    <w:p w14:paraId="6E27561C" w14:textId="77777777" w:rsidR="00175FF5" w:rsidRDefault="00443889" w:rsidP="00616723">
      <w:pPr>
        <w:suppressAutoHyphens/>
        <w:ind w:firstLine="312"/>
        <w:jc w:val="both"/>
        <w:textAlignment w:val="center"/>
        <w:rPr>
          <w:color w:val="000000"/>
          <w:szCs w:val="24"/>
        </w:rPr>
      </w:pPr>
      <w:r>
        <w:rPr>
          <w:color w:val="000000"/>
          <w:szCs w:val="24"/>
        </w:rPr>
        <w:t>6. Valstybės (strateginių) švietimo stebėsenos rodiklių sąrašas atnaujinamas ne dažniau kaip kartą per metus.</w:t>
      </w:r>
    </w:p>
    <w:p w14:paraId="6E27561D" w14:textId="77777777" w:rsidR="00175FF5" w:rsidRDefault="00443889" w:rsidP="00616723">
      <w:pPr>
        <w:jc w:val="center"/>
        <w:rPr>
          <w:rFonts w:ascii="Calibri" w:eastAsia="Calibri" w:hAnsi="Calibri"/>
          <w:sz w:val="22"/>
          <w:szCs w:val="22"/>
        </w:rPr>
      </w:pPr>
      <w:r>
        <w:rPr>
          <w:sz w:val="22"/>
          <w:szCs w:val="22"/>
          <w:lang w:val="en-US"/>
        </w:rPr>
        <w:t>__________________</w:t>
      </w:r>
    </w:p>
    <w:sectPr w:rsidR="00175FF5" w:rsidSect="006167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567" w:bottom="90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C2C12" w14:textId="77777777" w:rsidR="008231DA" w:rsidRDefault="008231D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endnote>
  <w:endnote w:type="continuationSeparator" w:id="0">
    <w:p w14:paraId="036BB47C" w14:textId="77777777" w:rsidR="008231DA" w:rsidRDefault="008231D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75626" w14:textId="77777777" w:rsidR="00175FF5" w:rsidRDefault="00175FF5">
    <w:pPr>
      <w:tabs>
        <w:tab w:val="center" w:pos="4513"/>
        <w:tab w:val="right" w:pos="9026"/>
      </w:tabs>
      <w:spacing w:after="200" w:line="276" w:lineRule="auto"/>
      <w:rPr>
        <w:rFonts w:ascii="Calibri" w:eastAsia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75627" w14:textId="77777777" w:rsidR="00175FF5" w:rsidRDefault="00175FF5">
    <w:pPr>
      <w:tabs>
        <w:tab w:val="center" w:pos="4513"/>
        <w:tab w:val="right" w:pos="9026"/>
      </w:tabs>
      <w:spacing w:after="200" w:line="276" w:lineRule="auto"/>
      <w:rPr>
        <w:rFonts w:ascii="Calibri" w:eastAsia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75629" w14:textId="77777777" w:rsidR="00175FF5" w:rsidRDefault="00175FF5">
    <w:pPr>
      <w:tabs>
        <w:tab w:val="center" w:pos="4513"/>
        <w:tab w:val="right" w:pos="9026"/>
      </w:tabs>
      <w:spacing w:after="200" w:line="276" w:lineRule="auto"/>
      <w:rPr>
        <w:rFonts w:ascii="Calibri" w:eastAsia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0B2AE" w14:textId="77777777" w:rsidR="008231DA" w:rsidRDefault="008231D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separator/>
      </w:r>
    </w:p>
  </w:footnote>
  <w:footnote w:type="continuationSeparator" w:id="0">
    <w:p w14:paraId="737E7C29" w14:textId="77777777" w:rsidR="008231DA" w:rsidRDefault="008231DA">
      <w:pPr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75624" w14:textId="77777777" w:rsidR="00175FF5" w:rsidRDefault="00175FF5">
    <w:pPr>
      <w:tabs>
        <w:tab w:val="center" w:pos="4513"/>
        <w:tab w:val="right" w:pos="9026"/>
      </w:tabs>
      <w:spacing w:after="200" w:line="276" w:lineRule="auto"/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75625" w14:textId="77777777" w:rsidR="00175FF5" w:rsidRDefault="00443889">
    <w:pPr>
      <w:tabs>
        <w:tab w:val="center" w:pos="4513"/>
        <w:tab w:val="right" w:pos="9026"/>
      </w:tabs>
      <w:spacing w:after="200" w:line="276" w:lineRule="auto"/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75628" w14:textId="77777777" w:rsidR="00175FF5" w:rsidRDefault="00175FF5">
    <w:pPr>
      <w:tabs>
        <w:tab w:val="center" w:pos="4513"/>
        <w:tab w:val="right" w:pos="9026"/>
      </w:tabs>
      <w:spacing w:after="200" w:line="276" w:lineRule="auto"/>
      <w:rPr>
        <w:rFonts w:ascii="Calibri" w:eastAsia="Calibri" w:hAnsi="Calibr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1E"/>
    <w:rsid w:val="00091C21"/>
    <w:rsid w:val="00175FF5"/>
    <w:rsid w:val="00443889"/>
    <w:rsid w:val="00616723"/>
    <w:rsid w:val="008231DA"/>
    <w:rsid w:val="00E56E39"/>
    <w:rsid w:val="00E8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755B5"/>
  <w15:docId w15:val="{9528BE32-D37F-46AF-96B1-0B464A97A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91C2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91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D6269-FDDD-4B42-AE17-60BCAF2FCD3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F3CBA81-4CF6-4F29-BA57-EA00DC3C8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9AF2AA-6DD0-4C97-B756-45495E9925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939CB3-1827-4D7E-A0BA-043BDE19B2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3308</Words>
  <Characters>1887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cdffe519-24dd-473e-b61b-c7704443e05b</vt:lpstr>
      <vt:lpstr/>
    </vt:vector>
  </TitlesOfParts>
  <Company/>
  <LinksUpToDate>false</LinksUpToDate>
  <CharactersWithSpaces>5185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cdffe519-24dd-473e-b61b-c7704443e05b</dc:title>
  <dc:creator>LAUKIONYTĖ Irena</dc:creator>
  <cp:lastModifiedBy>Administratorius</cp:lastModifiedBy>
  <cp:revision>2</cp:revision>
  <dcterms:created xsi:type="dcterms:W3CDTF">2019-11-21T07:02:00Z</dcterms:created>
  <dcterms:modified xsi:type="dcterms:W3CDTF">2019-11-21T07:02:00Z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omentarai">
    <vt:lpwstr>Pridėta po vizavimo</vt:lpwstr>
  </property>
  <property fmtid="{D5CDD505-2E9C-101B-9397-08002B2CF9AE}" pid="3" name="ContentTypeId">
    <vt:lpwstr>0x010100D8ECFFBDDA118244861569856C5AC6C3</vt:lpwstr>
  </property>
</Properties>
</file>