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158" w:rsidRDefault="00B07158" w:rsidP="00CD42B2">
      <w:pPr>
        <w:spacing w:after="0"/>
        <w:jc w:val="center"/>
        <w:rPr>
          <w:b/>
          <w:szCs w:val="24"/>
          <w:lang w:eastAsia="lt-LT"/>
        </w:rPr>
      </w:pPr>
      <w:r w:rsidRPr="00295729">
        <w:rPr>
          <w:b/>
          <w:szCs w:val="24"/>
          <w:lang w:eastAsia="lt-LT"/>
        </w:rPr>
        <w:t>N</w:t>
      </w:r>
      <w:r w:rsidR="00CD42B2">
        <w:rPr>
          <w:b/>
          <w:szCs w:val="24"/>
          <w:lang w:eastAsia="lt-LT"/>
        </w:rPr>
        <w:t xml:space="preserve">EFORMALUSIS ŠVIETIMAS </w:t>
      </w:r>
      <w:r>
        <w:rPr>
          <w:b/>
          <w:szCs w:val="24"/>
          <w:lang w:eastAsia="lt-LT"/>
        </w:rPr>
        <w:t xml:space="preserve">2016–2018 </w:t>
      </w:r>
      <w:r w:rsidR="00CD42B2">
        <w:rPr>
          <w:b/>
          <w:szCs w:val="24"/>
          <w:lang w:eastAsia="lt-LT"/>
        </w:rPr>
        <w:t>M</w:t>
      </w:r>
      <w:r>
        <w:rPr>
          <w:b/>
          <w:szCs w:val="24"/>
          <w:lang w:eastAsia="lt-LT"/>
        </w:rPr>
        <w:t>.</w:t>
      </w:r>
      <w:r w:rsidR="00CD42B2">
        <w:rPr>
          <w:b/>
          <w:szCs w:val="24"/>
          <w:lang w:eastAsia="lt-LT"/>
        </w:rPr>
        <w:t xml:space="preserve"> (apžvalga)</w:t>
      </w:r>
    </w:p>
    <w:p w:rsidR="00CD42B2" w:rsidRDefault="00CD42B2" w:rsidP="00B07158">
      <w:pPr>
        <w:spacing w:after="0"/>
        <w:jc w:val="both"/>
        <w:rPr>
          <w:szCs w:val="24"/>
          <w:lang w:eastAsia="lt-LT"/>
        </w:rPr>
      </w:pPr>
    </w:p>
    <w:p w:rsidR="00B07158" w:rsidRPr="00210C15" w:rsidRDefault="00B07158" w:rsidP="00B07158">
      <w:pPr>
        <w:spacing w:after="0"/>
        <w:ind w:firstLine="851"/>
        <w:jc w:val="both"/>
        <w:rPr>
          <w:szCs w:val="24"/>
          <w:lang w:eastAsia="lt-LT"/>
        </w:rPr>
      </w:pPr>
      <w:r>
        <w:rPr>
          <w:szCs w:val="24"/>
          <w:lang w:eastAsia="lt-LT"/>
        </w:rPr>
        <w:t xml:space="preserve">Kėdainių rajono savivaldybės strateginiuose veiklos planuose (nuo 2016 m.) neformalųjį švietimą aprėpia </w:t>
      </w:r>
      <w:r w:rsidR="00785F5C">
        <w:rPr>
          <w:szCs w:val="24"/>
          <w:lang w:eastAsia="lt-LT"/>
        </w:rPr>
        <w:t xml:space="preserve">strateginiai </w:t>
      </w:r>
      <w:r w:rsidRPr="00B92AF5">
        <w:rPr>
          <w:szCs w:val="24"/>
          <w:lang w:eastAsia="lt-LT"/>
        </w:rPr>
        <w:t>uždaviniai „</w:t>
      </w:r>
      <w:r w:rsidRPr="00B92AF5">
        <w:t>Užtikrinti efektyvią ugdymo įstaigų veiklą</w:t>
      </w:r>
      <w:r w:rsidRPr="00B92AF5">
        <w:rPr>
          <w:szCs w:val="24"/>
          <w:lang w:eastAsia="lt-LT"/>
        </w:rPr>
        <w:t>“ ir „</w:t>
      </w:r>
      <w:r w:rsidRPr="00B92AF5">
        <w:t>Vykdyti švietimo viešąjį administravimą</w:t>
      </w:r>
      <w:r w:rsidRPr="00B92AF5">
        <w:rPr>
          <w:szCs w:val="24"/>
          <w:lang w:eastAsia="lt-LT"/>
        </w:rPr>
        <w:t>“.</w:t>
      </w:r>
      <w:r w:rsidRPr="00AB3252">
        <w:rPr>
          <w:szCs w:val="24"/>
          <w:lang w:eastAsia="lt-LT"/>
        </w:rPr>
        <w:t xml:space="preserve"> </w:t>
      </w:r>
      <w:r>
        <w:rPr>
          <w:szCs w:val="24"/>
          <w:lang w:eastAsia="lt-LT"/>
        </w:rPr>
        <w:t>Švietimo ir mokslo ministerijos įžvalgose apie švietimo būklę per 2013–2017 metus konstatuota, kad Kėdainių rajono savivaldybėje gerai plėtojama neformaliojo švietimo veikla (</w:t>
      </w:r>
      <w:r>
        <w:t>analizė „Lietuva. Švietimas šalyje ir regionuose</w:t>
      </w:r>
      <w:r w:rsidRPr="00210C15">
        <w:t>“</w:t>
      </w:r>
      <w:r w:rsidRPr="00210C15">
        <w:rPr>
          <w:szCs w:val="24"/>
          <w:lang w:eastAsia="lt-LT"/>
        </w:rPr>
        <w:t>).</w:t>
      </w:r>
    </w:p>
    <w:p w:rsidR="00B07158" w:rsidRPr="00210C15" w:rsidRDefault="00B07158" w:rsidP="00B07158">
      <w:pPr>
        <w:spacing w:after="0"/>
        <w:ind w:firstLine="851"/>
        <w:jc w:val="both"/>
        <w:rPr>
          <w:szCs w:val="24"/>
          <w:lang w:eastAsia="lt-LT"/>
        </w:rPr>
      </w:pPr>
    </w:p>
    <w:p w:rsidR="00B07158" w:rsidRDefault="00B07158" w:rsidP="00B07158">
      <w:pPr>
        <w:spacing w:after="0"/>
        <w:ind w:firstLine="851"/>
        <w:jc w:val="both"/>
        <w:rPr>
          <w:szCs w:val="24"/>
          <w:lang w:eastAsia="lt-LT"/>
        </w:rPr>
      </w:pPr>
      <w:r w:rsidRPr="00210C15">
        <w:rPr>
          <w:szCs w:val="24"/>
          <w:lang w:eastAsia="lt-LT"/>
        </w:rPr>
        <w:t>Neformaliojo vaikų švietimo</w:t>
      </w:r>
      <w:r w:rsidR="00B516CB" w:rsidRPr="00210C15">
        <w:rPr>
          <w:szCs w:val="24"/>
          <w:lang w:eastAsia="lt-LT"/>
        </w:rPr>
        <w:t xml:space="preserve">, apimančio neformalųjį vaikų švietimą ir </w:t>
      </w:r>
      <w:r w:rsidR="00E13C09" w:rsidRPr="00210C15">
        <w:rPr>
          <w:szCs w:val="24"/>
          <w:lang w:eastAsia="lt-LT"/>
        </w:rPr>
        <w:t xml:space="preserve">formalųjį švietimą papildantį ugdymą </w:t>
      </w:r>
      <w:r w:rsidRPr="00210C15">
        <w:rPr>
          <w:szCs w:val="24"/>
          <w:lang w:eastAsia="lt-LT"/>
        </w:rPr>
        <w:t xml:space="preserve">(toliau </w:t>
      </w:r>
      <w:r w:rsidR="003268F9" w:rsidRPr="00210C15">
        <w:rPr>
          <w:szCs w:val="24"/>
          <w:lang w:eastAsia="lt-LT"/>
        </w:rPr>
        <w:t xml:space="preserve">kaip platesnė sąvoka </w:t>
      </w:r>
      <w:r w:rsidRPr="00210C15">
        <w:rPr>
          <w:szCs w:val="24"/>
          <w:lang w:eastAsia="lt-LT"/>
        </w:rPr>
        <w:t>– NVŠ)</w:t>
      </w:r>
      <w:r w:rsidR="00E13C09" w:rsidRPr="00210C15">
        <w:rPr>
          <w:szCs w:val="24"/>
          <w:lang w:eastAsia="lt-LT"/>
        </w:rPr>
        <w:t>,</w:t>
      </w:r>
      <w:r w:rsidRPr="00210C15">
        <w:rPr>
          <w:szCs w:val="24"/>
          <w:lang w:eastAsia="lt-LT"/>
        </w:rPr>
        <w:t xml:space="preserve"> programomis siekiama atitikti vaikų</w:t>
      </w:r>
      <w:r w:rsidR="00E13C09" w:rsidRPr="00210C15">
        <w:rPr>
          <w:szCs w:val="24"/>
          <w:lang w:eastAsia="lt-LT"/>
        </w:rPr>
        <w:t xml:space="preserve"> (vaikų ir jaunimo iki 19 metų, besimokančių pagal bendrojo ugdymo programą)</w:t>
      </w:r>
      <w:r w:rsidRPr="00210C15">
        <w:rPr>
          <w:szCs w:val="24"/>
          <w:lang w:eastAsia="lt-LT"/>
        </w:rPr>
        <w:t xml:space="preserve"> ir tėvų </w:t>
      </w:r>
      <w:r w:rsidRPr="002C3C06">
        <w:rPr>
          <w:szCs w:val="24"/>
          <w:lang w:eastAsia="lt-LT"/>
        </w:rPr>
        <w:t xml:space="preserve">(globėjų, rūpintojų) lūkesčius, tenkinti vaikų pažinimo, ugdymo(si) ir saviraiškos poreikius įvairiomis patraukliomis veiklomis, sklandžiai diegti NVŠ finansavimo mechanizmą, kuris didintų šio švietimo tolygią </w:t>
      </w:r>
      <w:r w:rsidRPr="00D066A4">
        <w:rPr>
          <w:b/>
          <w:szCs w:val="24"/>
          <w:lang w:eastAsia="lt-LT"/>
        </w:rPr>
        <w:t>plėtrą</w:t>
      </w:r>
      <w:r w:rsidRPr="002C3C06">
        <w:rPr>
          <w:szCs w:val="24"/>
          <w:lang w:eastAsia="lt-LT"/>
        </w:rPr>
        <w:t xml:space="preserve">, paklausą, pasiūlą ir </w:t>
      </w:r>
      <w:r w:rsidRPr="00D066A4">
        <w:rPr>
          <w:b/>
          <w:szCs w:val="24"/>
          <w:lang w:eastAsia="lt-LT"/>
        </w:rPr>
        <w:t>prieinamumą</w:t>
      </w:r>
      <w:r w:rsidRPr="002C3C06">
        <w:rPr>
          <w:szCs w:val="24"/>
          <w:lang w:eastAsia="lt-LT"/>
        </w:rPr>
        <w:t xml:space="preserve">, sukurtų sąlygas kiekvienam vaikui gauti panašios </w:t>
      </w:r>
      <w:r w:rsidRPr="00D066A4">
        <w:rPr>
          <w:b/>
          <w:szCs w:val="24"/>
          <w:lang w:eastAsia="lt-LT"/>
        </w:rPr>
        <w:t>kokybės</w:t>
      </w:r>
      <w:r w:rsidRPr="002C3C06">
        <w:rPr>
          <w:szCs w:val="24"/>
          <w:lang w:eastAsia="lt-LT"/>
        </w:rPr>
        <w:t xml:space="preserve"> NVŠ paslaugas po pamokų, užtikrinti kokybės priežiūrą, efektyvų ir racionalų skiriamų </w:t>
      </w:r>
      <w:r w:rsidRPr="00370822">
        <w:rPr>
          <w:b/>
          <w:szCs w:val="24"/>
          <w:lang w:eastAsia="lt-LT"/>
        </w:rPr>
        <w:t>lėšų naudojimą</w:t>
      </w:r>
      <w:r w:rsidRPr="002C3C06">
        <w:rPr>
          <w:szCs w:val="24"/>
          <w:lang w:eastAsia="lt-LT"/>
        </w:rPr>
        <w:t>.</w:t>
      </w:r>
    </w:p>
    <w:p w:rsidR="00B07158" w:rsidRDefault="00B07158" w:rsidP="00B07158">
      <w:pPr>
        <w:spacing w:after="0"/>
        <w:ind w:firstLine="851"/>
        <w:jc w:val="both"/>
        <w:rPr>
          <w:szCs w:val="24"/>
          <w:lang w:eastAsia="lt-LT"/>
        </w:rPr>
      </w:pPr>
      <w:r>
        <w:rPr>
          <w:szCs w:val="24"/>
          <w:lang w:eastAsia="lt-LT"/>
        </w:rPr>
        <w:t>Tarp Kėdainių rajono savivaldybės lygmens švietimo stebėsenos rodiklių (patvirtinti Kėdainių rajono savivaldybės administracijos direktoriaus 2012 m. lapkričio 8 d. įsakymu Nr. AD-1-1396 „Dėl Kėdainių rajono savivaldybės lygmens švietimo stebėsenos rodiklių sąrašo tvirtinimo“; papildyti 2017 m.) yra keli rodikliai, kurie sudaro sąlygas priimti pagrįstus sprendimus, vykdyti švietimo kokybę laiduojantį valdymą ir informuoti visuomenę apie švietimo būklę: 23) asmenų, lankančių neformaliojo vaikų švietimo mokyklas, dalis (proc.); 24) besimokančiųjų, lankančių neformaliojo vaikų švietimo būrelius bendrojo ugdymo mokyklose, dalis (proc.). Šie abu indėlio į švietimą rodikliai susiję su besimokančiųjų charakteristikomis.</w:t>
      </w:r>
    </w:p>
    <w:p w:rsidR="00B07158" w:rsidRDefault="00B07158" w:rsidP="00B07158">
      <w:pPr>
        <w:spacing w:after="0"/>
        <w:ind w:firstLine="851"/>
        <w:jc w:val="both"/>
        <w:rPr>
          <w:szCs w:val="24"/>
          <w:lang w:eastAsia="lt-LT"/>
        </w:rPr>
      </w:pPr>
    </w:p>
    <w:p w:rsidR="00B07158" w:rsidRPr="00210C15" w:rsidRDefault="00C65E3C" w:rsidP="00B07158">
      <w:pPr>
        <w:spacing w:after="0"/>
        <w:ind w:firstLine="851"/>
        <w:jc w:val="both"/>
        <w:rPr>
          <w:szCs w:val="24"/>
          <w:lang w:eastAsia="lt-LT"/>
        </w:rPr>
      </w:pPr>
      <w:r>
        <w:rPr>
          <w:szCs w:val="24"/>
          <w:lang w:eastAsia="lt-LT"/>
        </w:rPr>
        <w:t>A</w:t>
      </w:r>
      <w:r w:rsidR="00B07158" w:rsidRPr="00210C15">
        <w:rPr>
          <w:szCs w:val="24"/>
          <w:lang w:eastAsia="lt-LT"/>
        </w:rPr>
        <w:t>pžvelgiamos Švietimo ir kultūros skyriaus veiklos sritys, funkcijos ir kai kurios priemonės</w:t>
      </w:r>
      <w:r w:rsidR="00370822" w:rsidRPr="00210C15">
        <w:rPr>
          <w:szCs w:val="24"/>
          <w:lang w:eastAsia="lt-LT"/>
        </w:rPr>
        <w:t xml:space="preserve">, tendencijos </w:t>
      </w:r>
      <w:r w:rsidR="00DA064B" w:rsidRPr="00210C15">
        <w:rPr>
          <w:szCs w:val="24"/>
          <w:lang w:eastAsia="lt-LT"/>
        </w:rPr>
        <w:t>(organizavimas, prieinamumas, finansavimas)</w:t>
      </w:r>
      <w:r w:rsidR="00B07158" w:rsidRPr="00210C15">
        <w:rPr>
          <w:szCs w:val="24"/>
          <w:lang w:eastAsia="lt-LT"/>
        </w:rPr>
        <w:t>, susijusios su neformaliuoju vaikų ir suaugusiųjų švietimu</w:t>
      </w:r>
      <w:r w:rsidR="001A432A" w:rsidRPr="00210C15">
        <w:rPr>
          <w:szCs w:val="24"/>
          <w:lang w:eastAsia="lt-LT"/>
        </w:rPr>
        <w:t xml:space="preserve"> (išskyrus ikimokyklinį ir priešmokyklinį ugdymą)</w:t>
      </w:r>
      <w:r w:rsidR="00B07158" w:rsidRPr="00210C15">
        <w:rPr>
          <w:szCs w:val="24"/>
          <w:lang w:eastAsia="lt-LT"/>
        </w:rPr>
        <w:t>.</w:t>
      </w:r>
      <w:r w:rsidR="00E13C09" w:rsidRPr="00210C15">
        <w:rPr>
          <w:szCs w:val="24"/>
          <w:lang w:eastAsia="lt-LT"/>
        </w:rPr>
        <w:t xml:space="preserve"> Neaptariama NŠ teikėjų materialinė ir ugdymo aplinka</w:t>
      </w:r>
      <w:r w:rsidR="001A432A" w:rsidRPr="00210C15">
        <w:rPr>
          <w:szCs w:val="24"/>
          <w:lang w:eastAsia="lt-LT"/>
        </w:rPr>
        <w:t xml:space="preserve">, </w:t>
      </w:r>
      <w:r w:rsidR="00370822" w:rsidRPr="00210C15">
        <w:rPr>
          <w:szCs w:val="24"/>
          <w:lang w:eastAsia="lt-LT"/>
        </w:rPr>
        <w:t xml:space="preserve">rajono savivaldybės mastu </w:t>
      </w:r>
      <w:r w:rsidR="001A432A" w:rsidRPr="00210C15">
        <w:rPr>
          <w:szCs w:val="24"/>
          <w:lang w:eastAsia="lt-LT"/>
        </w:rPr>
        <w:t xml:space="preserve">formuojama </w:t>
      </w:r>
      <w:r w:rsidR="00370822" w:rsidRPr="00210C15">
        <w:rPr>
          <w:szCs w:val="24"/>
          <w:lang w:eastAsia="lt-LT"/>
        </w:rPr>
        <w:t xml:space="preserve">neformaliojo švietimo </w:t>
      </w:r>
      <w:r w:rsidR="001A432A" w:rsidRPr="00210C15">
        <w:rPr>
          <w:szCs w:val="24"/>
          <w:lang w:eastAsia="lt-LT"/>
        </w:rPr>
        <w:t>politika</w:t>
      </w:r>
      <w:r w:rsidR="00370822" w:rsidRPr="00210C15">
        <w:rPr>
          <w:szCs w:val="24"/>
          <w:lang w:eastAsia="lt-LT"/>
        </w:rPr>
        <w:t xml:space="preserve"> (plėtros planas)</w:t>
      </w:r>
      <w:r w:rsidR="001A432A" w:rsidRPr="00210C15">
        <w:rPr>
          <w:szCs w:val="24"/>
          <w:lang w:eastAsia="lt-LT"/>
        </w:rPr>
        <w:t xml:space="preserve"> ir (ar) sprendimai</w:t>
      </w:r>
      <w:r w:rsidR="00E13C09" w:rsidRPr="00210C15">
        <w:rPr>
          <w:szCs w:val="24"/>
          <w:lang w:eastAsia="lt-LT"/>
        </w:rPr>
        <w:t>.</w:t>
      </w:r>
      <w:r w:rsidR="00D066A4" w:rsidRPr="00210C15">
        <w:rPr>
          <w:szCs w:val="24"/>
          <w:lang w:eastAsia="lt-LT"/>
        </w:rPr>
        <w:t xml:space="preserve"> Duomenys apie neformaliojo švietimo gavėjus ir teikėjus ne visada yra tikslūs ir išsamūs, nes kartais nesutampa šaltinių statistika (pvz., mokyklų teikiama ŠVIS</w:t>
      </w:r>
      <w:r w:rsidR="00A44E67" w:rsidRPr="00210C15">
        <w:rPr>
          <w:szCs w:val="24"/>
          <w:lang w:eastAsia="lt-LT"/>
        </w:rPr>
        <w:t>‘o</w:t>
      </w:r>
      <w:r w:rsidR="00D066A4" w:rsidRPr="00210C15">
        <w:rPr>
          <w:szCs w:val="24"/>
          <w:lang w:eastAsia="lt-LT"/>
        </w:rPr>
        <w:t xml:space="preserve"> sistemai ir rajono savivaldybės administracijos Švietimo ir kultūros skyriui). </w:t>
      </w:r>
      <w:r w:rsidR="00D066A4" w:rsidRPr="00210C15">
        <w:rPr>
          <w:rFonts w:cs="Times New Roman"/>
          <w:lang w:val="pt-PT"/>
        </w:rPr>
        <w:t xml:space="preserve">NŠ teikėjai, kurie yra ne biudžetinės įstaigos ir nedalyvauja rajono savivaldybės finansuojamuose projektiniuose konkursuose ir projektinėje veikloje, </w:t>
      </w:r>
      <w:r w:rsidR="00A44E67" w:rsidRPr="00210C15">
        <w:rPr>
          <w:rFonts w:cs="Times New Roman"/>
          <w:lang w:val="pt-PT"/>
        </w:rPr>
        <w:t xml:space="preserve">neretai </w:t>
      </w:r>
      <w:r w:rsidR="00D066A4" w:rsidRPr="00210C15">
        <w:rPr>
          <w:rFonts w:cs="Times New Roman"/>
          <w:lang w:val="pt-PT"/>
        </w:rPr>
        <w:t>neapskaitomi, kai kurie nežinomi.</w:t>
      </w:r>
      <w:r w:rsidR="001A432A" w:rsidRPr="00210C15">
        <w:rPr>
          <w:rFonts w:cs="Times New Roman"/>
          <w:lang w:val="pt-PT"/>
        </w:rPr>
        <w:t xml:space="preserve"> Pagaliau trūksta t</w:t>
      </w:r>
      <w:r w:rsidR="00370822" w:rsidRPr="00210C15">
        <w:rPr>
          <w:rFonts w:cs="Times New Roman"/>
          <w:lang w:val="pt-PT"/>
        </w:rPr>
        <w:t>a</w:t>
      </w:r>
      <w:r w:rsidR="001A432A" w:rsidRPr="00210C15">
        <w:rPr>
          <w:rFonts w:cs="Times New Roman"/>
          <w:lang w:val="pt-PT"/>
        </w:rPr>
        <w:t>rpininko, kuris aprėptų rajono savivaldybės administracijos</w:t>
      </w:r>
      <w:r w:rsidR="00060DD7" w:rsidRPr="00210C15">
        <w:rPr>
          <w:rFonts w:cs="Times New Roman"/>
          <w:lang w:val="pt-PT"/>
        </w:rPr>
        <w:t>, nevyriausybinių organizacijų</w:t>
      </w:r>
      <w:r w:rsidR="001A432A" w:rsidRPr="00210C15">
        <w:rPr>
          <w:rFonts w:cs="Times New Roman"/>
          <w:lang w:val="pt-PT"/>
        </w:rPr>
        <w:t xml:space="preserve"> statistiką ir valstybės tarnautojus, dirbančius daugmaž ties tomis pačiomis kryptimis.</w:t>
      </w:r>
    </w:p>
    <w:p w:rsidR="00CD42B2" w:rsidRPr="00210C15" w:rsidRDefault="00CD42B2" w:rsidP="00B07158">
      <w:pPr>
        <w:spacing w:after="0"/>
        <w:ind w:firstLine="851"/>
        <w:jc w:val="both"/>
        <w:rPr>
          <w:szCs w:val="24"/>
          <w:lang w:eastAsia="lt-LT"/>
        </w:rPr>
      </w:pPr>
    </w:p>
    <w:p w:rsidR="00B07158" w:rsidRPr="00210C15" w:rsidRDefault="00B07158" w:rsidP="00B07158">
      <w:pPr>
        <w:spacing w:after="0"/>
        <w:ind w:firstLine="851"/>
        <w:jc w:val="both"/>
        <w:rPr>
          <w:szCs w:val="24"/>
          <w:lang w:eastAsia="lt-LT"/>
        </w:rPr>
      </w:pPr>
      <w:r w:rsidRPr="00210C15">
        <w:rPr>
          <w:b/>
          <w:szCs w:val="24"/>
          <w:lang w:eastAsia="lt-LT"/>
        </w:rPr>
        <w:t>NVŠ koordinuojamas ir organizuojamas, analizė, stebėsena ir priežiūra</w:t>
      </w:r>
      <w:r w:rsidRPr="00210C15">
        <w:rPr>
          <w:szCs w:val="24"/>
          <w:lang w:eastAsia="lt-LT"/>
        </w:rPr>
        <w:t xml:space="preserve"> atliekama, pagalba teikiama nuosekliai, tai atsispindi ir Švietimo ir kultūros skyriaus mėnesių darbo planuose. Veiklos vertinamos aplankius teikėjus, stebint programų veiklas, susipažįstant su dokumentais, reaguojant į tėvų</w:t>
      </w:r>
      <w:r w:rsidR="00060DD7" w:rsidRPr="00210C15">
        <w:rPr>
          <w:szCs w:val="24"/>
          <w:lang w:eastAsia="lt-LT"/>
        </w:rPr>
        <w:t xml:space="preserve"> NVŠ teikėjų</w:t>
      </w:r>
      <w:r w:rsidRPr="00210C15">
        <w:rPr>
          <w:szCs w:val="24"/>
          <w:lang w:eastAsia="lt-LT"/>
        </w:rPr>
        <w:t xml:space="preserve"> pastebėjimus. Kelerius metus </w:t>
      </w:r>
      <w:r w:rsidR="00060DD7" w:rsidRPr="00210C15">
        <w:rPr>
          <w:szCs w:val="24"/>
          <w:lang w:eastAsia="lt-LT"/>
        </w:rPr>
        <w:t xml:space="preserve">(nuo 2015 m. antrosios pusės) </w:t>
      </w:r>
      <w:r w:rsidRPr="00210C15">
        <w:rPr>
          <w:szCs w:val="24"/>
          <w:lang w:eastAsia="lt-LT"/>
        </w:rPr>
        <w:t xml:space="preserve">lankant NVŠ teikėjus ir programas, buvo pildoma </w:t>
      </w:r>
      <w:r w:rsidR="00060DD7" w:rsidRPr="00210C15">
        <w:rPr>
          <w:szCs w:val="24"/>
          <w:lang w:eastAsia="lt-LT"/>
        </w:rPr>
        <w:t xml:space="preserve">pačių susikurta </w:t>
      </w:r>
      <w:r w:rsidRPr="00210C15">
        <w:rPr>
          <w:szCs w:val="24"/>
          <w:lang w:eastAsia="lt-LT"/>
        </w:rPr>
        <w:t>NVŠ programų stebėsenos ir priežiūros atmintinė. Nuo 2018 m. rudens patikrų ataskaitos teikiamos NVŠ programų (tikslinis finansavimas) kuratoriams.</w:t>
      </w:r>
    </w:p>
    <w:p w:rsidR="00B07158" w:rsidRPr="00C70348" w:rsidRDefault="00B07158" w:rsidP="00B07158">
      <w:pPr>
        <w:spacing w:after="0"/>
        <w:ind w:firstLine="851"/>
        <w:jc w:val="both"/>
        <w:rPr>
          <w:szCs w:val="24"/>
          <w:lang w:eastAsia="lt-LT"/>
        </w:rPr>
      </w:pPr>
      <w:r w:rsidRPr="00C70348">
        <w:rPr>
          <w:szCs w:val="24"/>
          <w:lang w:eastAsia="lt-LT"/>
        </w:rPr>
        <w:lastRenderedPageBreak/>
        <w:t xml:space="preserve">Nuolat raštu ir žodžiu teikiama pagalba, </w:t>
      </w:r>
      <w:r w:rsidRPr="00892B22">
        <w:rPr>
          <w:b/>
          <w:szCs w:val="24"/>
          <w:lang w:eastAsia="lt-LT"/>
        </w:rPr>
        <w:t>konsultacijos ir informacija</w:t>
      </w:r>
      <w:r w:rsidRPr="00C70348">
        <w:rPr>
          <w:szCs w:val="24"/>
          <w:lang w:eastAsia="lt-LT"/>
        </w:rPr>
        <w:t xml:space="preserve"> (pvz</w:t>
      </w:r>
      <w:r>
        <w:rPr>
          <w:szCs w:val="24"/>
          <w:lang w:eastAsia="lt-LT"/>
        </w:rPr>
        <w:t>.</w:t>
      </w:r>
      <w:r w:rsidRPr="00C70348">
        <w:rPr>
          <w:szCs w:val="24"/>
          <w:lang w:eastAsia="lt-LT"/>
        </w:rPr>
        <w:t>, rajono savivaldybės administracijos svetainėje arba savivaldybės periodikoje paskelbtos išsamios Švietimo ir kultūros skyriaus informacijos</w:t>
      </w:r>
      <w:r>
        <w:rPr>
          <w:szCs w:val="24"/>
          <w:lang w:eastAsia="lt-LT"/>
        </w:rPr>
        <w:t>, pranešimai</w:t>
      </w:r>
      <w:r w:rsidRPr="00C70348">
        <w:rPr>
          <w:szCs w:val="24"/>
          <w:lang w:eastAsia="lt-LT"/>
        </w:rPr>
        <w:t xml:space="preserve"> arba straipsniai: 2016 m. – 6, 2017 m. – 4, 2018 m. – 6).</w:t>
      </w:r>
      <w:r>
        <w:rPr>
          <w:szCs w:val="24"/>
          <w:lang w:eastAsia="lt-LT"/>
        </w:rPr>
        <w:t xml:space="preserve"> Kėdainių rajono savivaldybės administracijos svetainėje yra sukurti ir tvarkomi du specialūs poskyriai – Neformaliojo vaikų švietimo tikslinis finansavimas; Vaikų vasaros poilsis (</w:t>
      </w:r>
      <w:hyperlink r:id="rId6" w:history="1">
        <w:r w:rsidRPr="008E3D23">
          <w:rPr>
            <w:rStyle w:val="Hyperlink"/>
            <w:szCs w:val="24"/>
            <w:lang w:eastAsia="lt-LT"/>
          </w:rPr>
          <w:t>www.kedainiai.lt</w:t>
        </w:r>
      </w:hyperlink>
      <w:r>
        <w:rPr>
          <w:szCs w:val="24"/>
          <w:lang w:eastAsia="lt-LT"/>
        </w:rPr>
        <w:t xml:space="preserve"> / Veiklos sritys / Švietimas / </w:t>
      </w:r>
      <w:r w:rsidRPr="00C70348">
        <w:rPr>
          <w:szCs w:val="24"/>
          <w:lang w:eastAsia="lt-LT"/>
        </w:rPr>
        <w:t xml:space="preserve">Veikla). </w:t>
      </w:r>
      <w:r>
        <w:rPr>
          <w:szCs w:val="24"/>
          <w:lang w:eastAsia="lt-LT"/>
        </w:rPr>
        <w:t>Tvarkomos kelios informacinės sistemos, susijusios su NVŠ programų tiksliniu finansavimu ir NVŠ programomis bendrojo ugdymo mokyklose. NVŠ mokykloms ir kitiems teikėjams suorganizuoti susirinkimai (2016 m. – 2, 2017 m. – 2, 2018 m. – 3). Pare</w:t>
      </w:r>
      <w:r w:rsidRPr="00C70348">
        <w:rPr>
          <w:szCs w:val="24"/>
          <w:lang w:eastAsia="lt-LT"/>
        </w:rPr>
        <w:t>ng</w:t>
      </w:r>
      <w:r>
        <w:rPr>
          <w:szCs w:val="24"/>
          <w:lang w:eastAsia="lt-LT"/>
        </w:rPr>
        <w:t>ti</w:t>
      </w:r>
      <w:r w:rsidRPr="00C70348">
        <w:rPr>
          <w:szCs w:val="24"/>
          <w:lang w:eastAsia="lt-LT"/>
        </w:rPr>
        <w:t xml:space="preserve"> </w:t>
      </w:r>
      <w:r w:rsidRPr="00892B22">
        <w:rPr>
          <w:b/>
          <w:szCs w:val="24"/>
          <w:lang w:eastAsia="lt-LT"/>
        </w:rPr>
        <w:t>teisės aktai</w:t>
      </w:r>
      <w:r w:rsidRPr="00C70348">
        <w:rPr>
          <w:szCs w:val="24"/>
          <w:lang w:eastAsia="lt-LT"/>
        </w:rPr>
        <w:t>, susiję su NVŠ (rajono savivaldybės tarybos sprendimų projektai: 2016 m. – 5, 2017 m. – 2, 2018 m. – 6)</w:t>
      </w:r>
      <w:r>
        <w:rPr>
          <w:szCs w:val="24"/>
          <w:lang w:eastAsia="lt-LT"/>
        </w:rPr>
        <w:t>; dėl NVŠ veiklos parengti administracijos direktoriaus įsakymai (2016 m. – 12, 2017 m. – 8, 2018 m. – 10).</w:t>
      </w:r>
    </w:p>
    <w:p w:rsidR="00B07158" w:rsidRPr="00210C15" w:rsidRDefault="00B07158" w:rsidP="00B07158">
      <w:pPr>
        <w:spacing w:after="0"/>
        <w:ind w:firstLine="851"/>
        <w:jc w:val="both"/>
        <w:rPr>
          <w:szCs w:val="24"/>
          <w:lang w:eastAsia="lt-LT"/>
        </w:rPr>
      </w:pPr>
      <w:r>
        <w:rPr>
          <w:szCs w:val="24"/>
          <w:lang w:eastAsia="lt-LT"/>
        </w:rPr>
        <w:t xml:space="preserve">Švietimo ir mokslo ministro 2018 m. kovo 5 d. įsakymu Nr. V-215 patvirtinus Neformaliojo vaikų švietimo ir jo teikėjų </w:t>
      </w:r>
      <w:r w:rsidRPr="00892B22">
        <w:rPr>
          <w:b/>
          <w:szCs w:val="24"/>
          <w:lang w:eastAsia="lt-LT"/>
        </w:rPr>
        <w:t>veiklos kokybės užtikrinimo eksperimentinės metodiką</w:t>
      </w:r>
      <w:r>
        <w:rPr>
          <w:szCs w:val="24"/>
          <w:lang w:eastAsia="lt-LT"/>
        </w:rPr>
        <w:t xml:space="preserve">, rajono savivaldybėje atlikta 2017 ir </w:t>
      </w:r>
      <w:r w:rsidRPr="00210C15">
        <w:rPr>
          <w:szCs w:val="24"/>
          <w:lang w:eastAsia="lt-LT"/>
        </w:rPr>
        <w:t>2018 metų NVŠ būklės ir kaitos analizė, įvertinti kiekybiniai ir kokybiniai rezultatai (rodiklio pavadinimas, jo paskirtis, rodiklio skaičiavimo aprašymas, NVŠ rodikliai, rodiklio duomenų šaltinis).</w:t>
      </w:r>
    </w:p>
    <w:p w:rsidR="00B07158" w:rsidRPr="00210C15" w:rsidRDefault="00B07158" w:rsidP="00B07158">
      <w:pPr>
        <w:spacing w:after="0"/>
        <w:ind w:firstLine="851"/>
        <w:jc w:val="both"/>
        <w:rPr>
          <w:szCs w:val="24"/>
        </w:rPr>
      </w:pPr>
      <w:r w:rsidRPr="00210C15">
        <w:rPr>
          <w:szCs w:val="24"/>
        </w:rPr>
        <w:t>Remiantis Neformaliojo švietimo ir jo teikėjų veiklos kokybės užtikrinimo eksperimentine metodika, kai kurių</w:t>
      </w:r>
      <w:r w:rsidR="00DA064B" w:rsidRPr="00210C15">
        <w:rPr>
          <w:szCs w:val="24"/>
        </w:rPr>
        <w:t xml:space="preserve"> neformaliojo vaikų švietimo (</w:t>
      </w:r>
      <w:r w:rsidR="00944E8D" w:rsidRPr="00210C15">
        <w:rPr>
          <w:szCs w:val="24"/>
        </w:rPr>
        <w:t>NVŠ</w:t>
      </w:r>
      <w:r w:rsidR="00DA064B" w:rsidRPr="00210C15">
        <w:rPr>
          <w:szCs w:val="24"/>
        </w:rPr>
        <w:t>)</w:t>
      </w:r>
      <w:r w:rsidR="00944E8D" w:rsidRPr="00210C15">
        <w:rPr>
          <w:szCs w:val="24"/>
        </w:rPr>
        <w:t xml:space="preserve"> ir (ar) </w:t>
      </w:r>
      <w:r w:rsidR="00DA064B" w:rsidRPr="00210C15">
        <w:rPr>
          <w:szCs w:val="24"/>
        </w:rPr>
        <w:t>formalųjį švietimą papildančio ugdymo (</w:t>
      </w:r>
      <w:r w:rsidR="00944E8D" w:rsidRPr="00210C15">
        <w:rPr>
          <w:szCs w:val="24"/>
        </w:rPr>
        <w:t>FŠPU</w:t>
      </w:r>
      <w:r w:rsidR="00DA064B" w:rsidRPr="00210C15">
        <w:rPr>
          <w:szCs w:val="24"/>
        </w:rPr>
        <w:t>)</w:t>
      </w:r>
      <w:r w:rsidR="00944E8D" w:rsidRPr="00210C15">
        <w:rPr>
          <w:szCs w:val="24"/>
        </w:rPr>
        <w:t xml:space="preserve"> </w:t>
      </w:r>
      <w:r w:rsidRPr="00210C15">
        <w:rPr>
          <w:szCs w:val="24"/>
        </w:rPr>
        <w:t>mokyklų</w:t>
      </w:r>
      <w:r w:rsidR="00DA064B" w:rsidRPr="00210C15">
        <w:rPr>
          <w:szCs w:val="24"/>
        </w:rPr>
        <w:t xml:space="preserve"> – </w:t>
      </w:r>
      <w:r w:rsidRPr="00210C15">
        <w:rPr>
          <w:szCs w:val="24"/>
        </w:rPr>
        <w:t>Dailės, Kalbų, Muzikos mokyklų, Sporto centro</w:t>
      </w:r>
      <w:r w:rsidR="00DA064B" w:rsidRPr="00210C15">
        <w:rPr>
          <w:szCs w:val="24"/>
        </w:rPr>
        <w:t xml:space="preserve"> – </w:t>
      </w:r>
      <w:r w:rsidRPr="00210C15">
        <w:rPr>
          <w:szCs w:val="24"/>
        </w:rPr>
        <w:t xml:space="preserve">direktoriams tarp 2018 metų užduočių nustatytos ir tokios: organizuoti mokyklos veiklos įsivertinimą pagal atskiras sritis, kurti savitą įstaigos įsivertinimo sistemą (pvz., atliktas mokyklos veiklos įsivertinimas ugdymo organizavimo bei pasiekimų ir pažangos srityse; </w:t>
      </w:r>
      <w:r w:rsidRPr="00210C15">
        <w:rPr>
          <w:szCs w:val="24"/>
          <w:lang w:eastAsia="lt-LT"/>
        </w:rPr>
        <w:t xml:space="preserve">suburti bendruomenę ir įsivertinti neformaliojo vaikų švietimo veiklas pagal NVŠ kokybės rodiklių įsivertinimo formą, taikant 4 rodiklius – </w:t>
      </w:r>
      <w:r w:rsidRPr="00210C15">
        <w:rPr>
          <w:szCs w:val="24"/>
        </w:rPr>
        <w:t>pasiekimus ir pažangą, ugdymą , ugdymo aplinką, lyderystę ir vadybą).</w:t>
      </w:r>
    </w:p>
    <w:p w:rsidR="00B07158" w:rsidRPr="00210C15" w:rsidRDefault="00B07158" w:rsidP="00B07158">
      <w:pPr>
        <w:spacing w:after="0"/>
        <w:ind w:firstLine="851"/>
        <w:jc w:val="both"/>
        <w:rPr>
          <w:szCs w:val="24"/>
        </w:rPr>
      </w:pPr>
      <w:r w:rsidRPr="00210C15">
        <w:rPr>
          <w:szCs w:val="24"/>
        </w:rPr>
        <w:t xml:space="preserve">2019 m. NVŠ mokyklų vadovų susirinkime reikėtų 1) pasidalinti patirtimi apie veiklos kokybės užtikrinimo metodikos taikymą (paslaugų kokybė ir prieinamumas; vaikų kompetencijos, socialiniai įgūdžiai; kaip realizuota vaikų saviraiška, kūrybiškumas, fizinis aktyvumas) NVŠ mokyklose; 2) kaip galėtų būti atnaujinama NVŠ mokyklų infrastruktūra (modernizuojant turinį ir priemones, </w:t>
      </w:r>
      <w:r w:rsidR="00DA064B" w:rsidRPr="00210C15">
        <w:rPr>
          <w:szCs w:val="24"/>
        </w:rPr>
        <w:t xml:space="preserve">užtikrinant NŠ programų pasiūlą ir paklausą, švietimo kokybę; </w:t>
      </w:r>
      <w:r w:rsidRPr="00210C15">
        <w:rPr>
          <w:szCs w:val="24"/>
        </w:rPr>
        <w:t>tobulinant mokytojų kompetencijas; šalies projektai ir priemonės), 3) spręsti, kaip rajono savivaldybės lygmeniu galėtų būti vertinama neformaliojo švietimo kokybė.</w:t>
      </w:r>
    </w:p>
    <w:p w:rsidR="00B07158" w:rsidRPr="00170E62" w:rsidRDefault="00B07158" w:rsidP="00B07158">
      <w:pPr>
        <w:spacing w:after="0"/>
        <w:ind w:firstLine="851"/>
        <w:jc w:val="both"/>
        <w:rPr>
          <w:szCs w:val="24"/>
          <w:lang w:eastAsia="lt-LT"/>
        </w:rPr>
      </w:pPr>
      <w:r w:rsidRPr="00210C15">
        <w:rPr>
          <w:szCs w:val="24"/>
        </w:rPr>
        <w:t>Patvirtin</w:t>
      </w:r>
      <w:r w:rsidR="00E810B1" w:rsidRPr="00210C15">
        <w:rPr>
          <w:szCs w:val="24"/>
        </w:rPr>
        <w:t>ti</w:t>
      </w:r>
      <w:r w:rsidRPr="00210C15">
        <w:rPr>
          <w:szCs w:val="24"/>
        </w:rPr>
        <w:t xml:space="preserve"> nauj</w:t>
      </w:r>
      <w:r w:rsidR="00E810B1" w:rsidRPr="00210C15">
        <w:rPr>
          <w:szCs w:val="24"/>
        </w:rPr>
        <w:t>os</w:t>
      </w:r>
      <w:r w:rsidRPr="00210C15">
        <w:rPr>
          <w:szCs w:val="24"/>
        </w:rPr>
        <w:t xml:space="preserve"> redakcijos (2018 m. birželio 15 d. redakcija) </w:t>
      </w:r>
      <w:r w:rsidRPr="00210C15">
        <w:rPr>
          <w:b/>
          <w:szCs w:val="24"/>
        </w:rPr>
        <w:t>NVŠ programų vykdymo bendrieji sveikatos saugos reikalavimai</w:t>
      </w:r>
      <w:r w:rsidRPr="00210C15">
        <w:rPr>
          <w:szCs w:val="24"/>
        </w:rPr>
        <w:t>, todėl 2019 m. NVŠ teikėjų susirinkime</w:t>
      </w:r>
      <w:r w:rsidR="00CB1D95" w:rsidRPr="00210C15">
        <w:rPr>
          <w:szCs w:val="24"/>
        </w:rPr>
        <w:t>, NVŠ mokyklose</w:t>
      </w:r>
      <w:r w:rsidR="00216C5A" w:rsidRPr="00210C15">
        <w:rPr>
          <w:szCs w:val="24"/>
        </w:rPr>
        <w:t xml:space="preserve"> ir kitiems NVŠ teikėjams</w:t>
      </w:r>
      <w:r w:rsidRPr="00210C15">
        <w:rPr>
          <w:szCs w:val="24"/>
        </w:rPr>
        <w:t xml:space="preserve"> būtina dar kartą s</w:t>
      </w:r>
      <w:r>
        <w:rPr>
          <w:szCs w:val="24"/>
        </w:rPr>
        <w:t>tudijuoti, priminti privalomus reikalavimus teikėjams, vykdantiems NVŠ programas.</w:t>
      </w:r>
    </w:p>
    <w:p w:rsidR="00B07158" w:rsidRPr="00170E62" w:rsidRDefault="00B07158" w:rsidP="00B07158">
      <w:pPr>
        <w:spacing w:after="0"/>
        <w:ind w:firstLine="851"/>
        <w:jc w:val="both"/>
        <w:rPr>
          <w:szCs w:val="24"/>
          <w:lang w:eastAsia="lt-LT"/>
        </w:rPr>
      </w:pPr>
    </w:p>
    <w:p w:rsidR="00B07158" w:rsidRDefault="00B07158" w:rsidP="00B07158">
      <w:pPr>
        <w:spacing w:after="0"/>
        <w:ind w:firstLine="851"/>
        <w:jc w:val="both"/>
        <w:rPr>
          <w:szCs w:val="24"/>
          <w:lang w:eastAsia="lt-LT"/>
        </w:rPr>
      </w:pPr>
      <w:r w:rsidRPr="00892B22">
        <w:rPr>
          <w:b/>
          <w:szCs w:val="24"/>
          <w:lang w:eastAsia="lt-LT"/>
        </w:rPr>
        <w:t>Statistika apie 2016–2018 metų neformalųjį vaikų švietimą</w:t>
      </w:r>
      <w:r>
        <w:rPr>
          <w:szCs w:val="24"/>
          <w:lang w:eastAsia="lt-LT"/>
        </w:rPr>
        <w:t xml:space="preserve"> – tikslinį NVŠ programų finansavimą, mokymąsi formalųjį švietimą papildančio ugdymo ir neformaliojo vaikų švietimo mokyklose, mokinių dalyvavimą būreliuose, kuriuos organizuoja bendrojo ugdymo mokyklos (toliau – BUM) – pateikiama 1 lentelėje „BUM mokinių dalyvavimas NVŠ veikloje“.</w:t>
      </w:r>
    </w:p>
    <w:p w:rsidR="00B07158" w:rsidRDefault="00B07158" w:rsidP="00B07158">
      <w:pPr>
        <w:spacing w:after="0"/>
        <w:jc w:val="both"/>
      </w:pPr>
    </w:p>
    <w:p w:rsidR="00210C15" w:rsidRDefault="00210C15" w:rsidP="00B07158">
      <w:pPr>
        <w:spacing w:after="0"/>
        <w:jc w:val="both"/>
      </w:pPr>
    </w:p>
    <w:p w:rsidR="00210C15" w:rsidRDefault="00210C15" w:rsidP="00B07158">
      <w:pPr>
        <w:spacing w:after="0"/>
        <w:jc w:val="both"/>
      </w:pPr>
    </w:p>
    <w:p w:rsidR="00210C15" w:rsidRDefault="00210C15" w:rsidP="00B07158">
      <w:pPr>
        <w:spacing w:after="0"/>
        <w:jc w:val="both"/>
      </w:pPr>
    </w:p>
    <w:p w:rsidR="00210C15" w:rsidRDefault="00210C15" w:rsidP="00B07158">
      <w:pPr>
        <w:spacing w:after="0"/>
        <w:jc w:val="both"/>
      </w:pPr>
    </w:p>
    <w:p w:rsidR="00B07158" w:rsidRPr="00BF16CC" w:rsidRDefault="00B07158" w:rsidP="00B07158">
      <w:pPr>
        <w:spacing w:after="0"/>
        <w:jc w:val="center"/>
        <w:rPr>
          <w:b/>
        </w:rPr>
      </w:pPr>
      <w:r>
        <w:rPr>
          <w:rFonts w:eastAsia="Times New Roman" w:cs="Times New Roman"/>
          <w:b/>
          <w:color w:val="000000"/>
          <w:sz w:val="22"/>
          <w:lang w:eastAsia="lt-LT"/>
        </w:rPr>
        <w:lastRenderedPageBreak/>
        <w:t>1 l</w:t>
      </w:r>
      <w:r w:rsidRPr="00BF16CC">
        <w:rPr>
          <w:rFonts w:eastAsia="Times New Roman" w:cs="Times New Roman"/>
          <w:b/>
          <w:color w:val="000000"/>
          <w:sz w:val="22"/>
          <w:lang w:eastAsia="lt-LT"/>
        </w:rPr>
        <w:t xml:space="preserve">entelė. </w:t>
      </w:r>
      <w:r w:rsidRPr="002C3C06">
        <w:rPr>
          <w:rFonts w:eastAsia="Times New Roman" w:cs="Times New Roman"/>
          <w:b/>
          <w:color w:val="000000"/>
          <w:sz w:val="22"/>
          <w:lang w:eastAsia="lt-LT"/>
        </w:rPr>
        <w:t xml:space="preserve">BUM mokinių dalyvavimas </w:t>
      </w:r>
      <w:r w:rsidRPr="00BF16CC">
        <w:rPr>
          <w:rFonts w:eastAsia="Times New Roman" w:cs="Times New Roman"/>
          <w:b/>
          <w:color w:val="000000"/>
          <w:sz w:val="22"/>
          <w:lang w:eastAsia="lt-LT"/>
        </w:rPr>
        <w:t>N</w:t>
      </w:r>
      <w:r w:rsidRPr="002C3C06">
        <w:rPr>
          <w:rFonts w:eastAsia="Times New Roman" w:cs="Times New Roman"/>
          <w:b/>
          <w:color w:val="000000"/>
          <w:sz w:val="22"/>
          <w:lang w:eastAsia="lt-LT"/>
        </w:rPr>
        <w:t>V</w:t>
      </w:r>
      <w:r w:rsidRPr="00BF16CC">
        <w:rPr>
          <w:rFonts w:eastAsia="Times New Roman" w:cs="Times New Roman"/>
          <w:b/>
          <w:color w:val="000000"/>
          <w:sz w:val="22"/>
          <w:lang w:eastAsia="lt-LT"/>
        </w:rPr>
        <w:t>Š veikloje</w:t>
      </w:r>
    </w:p>
    <w:tbl>
      <w:tblPr>
        <w:tblW w:w="11779" w:type="dxa"/>
        <w:tblInd w:w="-5" w:type="dxa"/>
        <w:tblLook w:val="04A0" w:firstRow="1" w:lastRow="0" w:firstColumn="1" w:lastColumn="0" w:noHBand="0" w:noVBand="1"/>
      </w:tblPr>
      <w:tblGrid>
        <w:gridCol w:w="5902"/>
        <w:gridCol w:w="999"/>
        <w:gridCol w:w="960"/>
        <w:gridCol w:w="999"/>
        <w:gridCol w:w="960"/>
        <w:gridCol w:w="999"/>
        <w:gridCol w:w="960"/>
      </w:tblGrid>
      <w:tr w:rsidR="00B07158" w:rsidRPr="002C3C06" w:rsidTr="00CD42B2">
        <w:trPr>
          <w:trHeight w:val="300"/>
        </w:trPr>
        <w:tc>
          <w:tcPr>
            <w:tcW w:w="5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7158" w:rsidRPr="002C3C06" w:rsidRDefault="00B07158" w:rsidP="000F66A2">
            <w:pPr>
              <w:spacing w:after="0" w:line="240" w:lineRule="auto"/>
              <w:jc w:val="center"/>
              <w:rPr>
                <w:rFonts w:eastAsia="Times New Roman" w:cs="Times New Roman"/>
                <w:b/>
                <w:color w:val="000000"/>
                <w:sz w:val="22"/>
                <w:lang w:eastAsia="lt-LT"/>
              </w:rPr>
            </w:pPr>
            <w:r w:rsidRPr="002C3C06">
              <w:rPr>
                <w:rFonts w:eastAsia="Times New Roman" w:cs="Times New Roman"/>
                <w:b/>
                <w:color w:val="000000"/>
                <w:sz w:val="22"/>
                <w:lang w:eastAsia="lt-LT"/>
              </w:rPr>
              <w:t>Mokslo metai</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7158" w:rsidRPr="002C3C06" w:rsidRDefault="00B07158" w:rsidP="000F66A2">
            <w:pPr>
              <w:spacing w:after="0" w:line="240" w:lineRule="auto"/>
              <w:jc w:val="center"/>
              <w:rPr>
                <w:rFonts w:eastAsia="Times New Roman" w:cs="Times New Roman"/>
                <w:b/>
                <w:color w:val="000000"/>
                <w:sz w:val="22"/>
                <w:lang w:eastAsia="lt-LT"/>
              </w:rPr>
            </w:pPr>
            <w:r w:rsidRPr="002C3C06">
              <w:rPr>
                <w:rFonts w:eastAsia="Times New Roman" w:cs="Times New Roman"/>
                <w:b/>
                <w:color w:val="000000"/>
                <w:sz w:val="22"/>
                <w:lang w:eastAsia="lt-LT"/>
              </w:rPr>
              <w:t>2016-2017</w:t>
            </w:r>
          </w:p>
        </w:tc>
        <w:tc>
          <w:tcPr>
            <w:tcW w:w="195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7158" w:rsidRPr="002C3C06" w:rsidRDefault="00B07158" w:rsidP="000F66A2">
            <w:pPr>
              <w:spacing w:after="0" w:line="240" w:lineRule="auto"/>
              <w:jc w:val="center"/>
              <w:rPr>
                <w:rFonts w:eastAsia="Times New Roman" w:cs="Times New Roman"/>
                <w:b/>
                <w:color w:val="000000"/>
                <w:sz w:val="22"/>
                <w:lang w:eastAsia="lt-LT"/>
              </w:rPr>
            </w:pPr>
            <w:r w:rsidRPr="002C3C06">
              <w:rPr>
                <w:rFonts w:eastAsia="Times New Roman" w:cs="Times New Roman"/>
                <w:b/>
                <w:color w:val="000000"/>
                <w:sz w:val="22"/>
                <w:lang w:eastAsia="lt-LT"/>
              </w:rPr>
              <w:t>2017-2018</w:t>
            </w:r>
          </w:p>
        </w:tc>
        <w:tc>
          <w:tcPr>
            <w:tcW w:w="195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07158" w:rsidRPr="002C3C06" w:rsidRDefault="00B07158" w:rsidP="000F66A2">
            <w:pPr>
              <w:spacing w:after="0" w:line="240" w:lineRule="auto"/>
              <w:jc w:val="center"/>
              <w:rPr>
                <w:rFonts w:eastAsia="Times New Roman" w:cs="Times New Roman"/>
                <w:b/>
                <w:color w:val="000000"/>
                <w:sz w:val="22"/>
                <w:lang w:eastAsia="lt-LT"/>
              </w:rPr>
            </w:pPr>
            <w:r w:rsidRPr="002C3C06">
              <w:rPr>
                <w:rFonts w:eastAsia="Times New Roman" w:cs="Times New Roman"/>
                <w:b/>
                <w:color w:val="000000"/>
                <w:sz w:val="22"/>
                <w:lang w:eastAsia="lt-LT"/>
              </w:rPr>
              <w:t>2018-2019</w:t>
            </w:r>
          </w:p>
        </w:tc>
      </w:tr>
      <w:tr w:rsidR="00B07158" w:rsidRPr="002C3C06" w:rsidTr="00CD42B2">
        <w:trPr>
          <w:trHeight w:val="300"/>
        </w:trPr>
        <w:tc>
          <w:tcPr>
            <w:tcW w:w="5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7158" w:rsidRPr="002C3C06" w:rsidRDefault="00B07158" w:rsidP="000F66A2">
            <w:pPr>
              <w:spacing w:after="0" w:line="240" w:lineRule="auto"/>
              <w:jc w:val="center"/>
              <w:rPr>
                <w:rFonts w:eastAsia="Times New Roman" w:cs="Times New Roman"/>
                <w:b/>
                <w:color w:val="000000"/>
                <w:sz w:val="22"/>
                <w:lang w:eastAsia="lt-LT"/>
              </w:rPr>
            </w:pPr>
            <w:r w:rsidRPr="002C3C06">
              <w:rPr>
                <w:rFonts w:eastAsia="Times New Roman" w:cs="Times New Roman"/>
                <w:b/>
                <w:color w:val="000000"/>
                <w:sz w:val="22"/>
                <w:lang w:eastAsia="lt-LT"/>
              </w:rPr>
              <w:t>Požymis</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b/>
                <w:color w:val="000000"/>
                <w:sz w:val="22"/>
                <w:lang w:eastAsia="lt-LT"/>
              </w:rPr>
            </w:pPr>
            <w:r w:rsidRPr="002C3C06">
              <w:rPr>
                <w:rFonts w:eastAsia="Times New Roman" w:cs="Times New Roman"/>
                <w:b/>
                <w:color w:val="000000"/>
                <w:sz w:val="22"/>
                <w:lang w:eastAsia="lt-LT"/>
              </w:rPr>
              <w:t>Skaičius</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b/>
                <w:color w:val="000000"/>
                <w:sz w:val="22"/>
                <w:lang w:eastAsia="lt-LT"/>
              </w:rPr>
            </w:pPr>
            <w:r w:rsidRPr="002C3C06">
              <w:rPr>
                <w:rFonts w:eastAsia="Times New Roman" w:cs="Times New Roman"/>
                <w:b/>
                <w:color w:val="000000"/>
                <w:sz w:val="22"/>
                <w:lang w:eastAsia="lt-LT"/>
              </w:rPr>
              <w:t>Proc.</w:t>
            </w:r>
          </w:p>
        </w:tc>
        <w:tc>
          <w:tcPr>
            <w:tcW w:w="999"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b/>
                <w:color w:val="000000"/>
                <w:sz w:val="22"/>
                <w:lang w:eastAsia="lt-LT"/>
              </w:rPr>
            </w:pPr>
            <w:r w:rsidRPr="002C3C06">
              <w:rPr>
                <w:rFonts w:eastAsia="Times New Roman" w:cs="Times New Roman"/>
                <w:b/>
                <w:color w:val="000000"/>
                <w:sz w:val="22"/>
                <w:lang w:eastAsia="lt-LT"/>
              </w:rPr>
              <w:t>Skaičius</w:t>
            </w:r>
          </w:p>
        </w:tc>
        <w:tc>
          <w:tcPr>
            <w:tcW w:w="960"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b/>
                <w:color w:val="000000"/>
                <w:sz w:val="22"/>
                <w:lang w:eastAsia="lt-LT"/>
              </w:rPr>
            </w:pPr>
            <w:r w:rsidRPr="002C3C06">
              <w:rPr>
                <w:rFonts w:eastAsia="Times New Roman" w:cs="Times New Roman"/>
                <w:b/>
                <w:color w:val="000000"/>
                <w:sz w:val="22"/>
                <w:lang w:eastAsia="lt-LT"/>
              </w:rPr>
              <w:t>Proc.</w:t>
            </w:r>
          </w:p>
        </w:tc>
        <w:tc>
          <w:tcPr>
            <w:tcW w:w="999"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b/>
                <w:color w:val="000000"/>
                <w:sz w:val="22"/>
                <w:lang w:eastAsia="lt-LT"/>
              </w:rPr>
            </w:pPr>
            <w:r w:rsidRPr="002C3C06">
              <w:rPr>
                <w:rFonts w:eastAsia="Times New Roman" w:cs="Times New Roman"/>
                <w:b/>
                <w:color w:val="000000"/>
                <w:sz w:val="22"/>
                <w:lang w:eastAsia="lt-LT"/>
              </w:rPr>
              <w:t>Skaičius</w:t>
            </w:r>
          </w:p>
        </w:tc>
        <w:tc>
          <w:tcPr>
            <w:tcW w:w="960"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b/>
                <w:color w:val="000000"/>
                <w:sz w:val="22"/>
                <w:lang w:eastAsia="lt-LT"/>
              </w:rPr>
            </w:pPr>
            <w:r w:rsidRPr="002C3C06">
              <w:rPr>
                <w:rFonts w:eastAsia="Times New Roman" w:cs="Times New Roman"/>
                <w:b/>
                <w:color w:val="000000"/>
                <w:sz w:val="22"/>
                <w:lang w:eastAsia="lt-LT"/>
              </w:rPr>
              <w:t>Proc.</w:t>
            </w:r>
          </w:p>
        </w:tc>
      </w:tr>
      <w:tr w:rsidR="00B07158" w:rsidRPr="002C3C06" w:rsidTr="00CD42B2">
        <w:trPr>
          <w:trHeight w:val="300"/>
        </w:trPr>
        <w:tc>
          <w:tcPr>
            <w:tcW w:w="5902" w:type="dxa"/>
            <w:tcBorders>
              <w:top w:val="single" w:sz="4" w:space="0" w:color="auto"/>
              <w:left w:val="single" w:sz="4" w:space="0" w:color="auto"/>
              <w:bottom w:val="single" w:sz="4" w:space="0" w:color="auto"/>
              <w:right w:val="single" w:sz="4" w:space="0" w:color="auto"/>
            </w:tcBorders>
            <w:shd w:val="clear" w:color="auto" w:fill="auto"/>
            <w:noWrap/>
            <w:hideMark/>
          </w:tcPr>
          <w:p w:rsidR="00B07158" w:rsidRPr="002C3C06" w:rsidRDefault="00B07158" w:rsidP="000F66A2">
            <w:pPr>
              <w:spacing w:after="0" w:line="240" w:lineRule="auto"/>
              <w:rPr>
                <w:rFonts w:eastAsia="Times New Roman" w:cs="Times New Roman"/>
                <w:color w:val="000000"/>
                <w:sz w:val="22"/>
                <w:lang w:eastAsia="lt-LT"/>
              </w:rPr>
            </w:pPr>
            <w:r w:rsidRPr="002C3C06">
              <w:rPr>
                <w:rFonts w:eastAsia="Times New Roman" w:cs="Times New Roman"/>
                <w:color w:val="000000"/>
                <w:sz w:val="22"/>
                <w:lang w:eastAsia="lt-LT"/>
              </w:rPr>
              <w:t>Iš viso BUM mokinių</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5.710</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 </w:t>
            </w:r>
          </w:p>
        </w:tc>
        <w:tc>
          <w:tcPr>
            <w:tcW w:w="999"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5.566</w:t>
            </w:r>
          </w:p>
        </w:tc>
        <w:tc>
          <w:tcPr>
            <w:tcW w:w="960"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 </w:t>
            </w:r>
          </w:p>
        </w:tc>
        <w:tc>
          <w:tcPr>
            <w:tcW w:w="999"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5.403</w:t>
            </w:r>
          </w:p>
        </w:tc>
        <w:tc>
          <w:tcPr>
            <w:tcW w:w="960"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 </w:t>
            </w:r>
          </w:p>
        </w:tc>
      </w:tr>
      <w:tr w:rsidR="00B07158" w:rsidRPr="002C3C06" w:rsidTr="00CD42B2">
        <w:trPr>
          <w:trHeight w:val="615"/>
        </w:trPr>
        <w:tc>
          <w:tcPr>
            <w:tcW w:w="5902" w:type="dxa"/>
            <w:tcBorders>
              <w:top w:val="single" w:sz="4" w:space="0" w:color="auto"/>
              <w:left w:val="single" w:sz="4" w:space="0" w:color="auto"/>
              <w:bottom w:val="single" w:sz="4" w:space="0" w:color="auto"/>
              <w:right w:val="single" w:sz="4" w:space="0" w:color="auto"/>
            </w:tcBorders>
            <w:shd w:val="clear" w:color="auto" w:fill="auto"/>
            <w:hideMark/>
          </w:tcPr>
          <w:p w:rsidR="00B07158" w:rsidRPr="002C3C06" w:rsidRDefault="00B07158" w:rsidP="000F66A2">
            <w:pPr>
              <w:spacing w:after="0" w:line="240" w:lineRule="auto"/>
              <w:rPr>
                <w:rFonts w:eastAsia="Times New Roman" w:cs="Times New Roman"/>
                <w:color w:val="000000"/>
                <w:sz w:val="22"/>
                <w:lang w:eastAsia="lt-LT"/>
              </w:rPr>
            </w:pPr>
            <w:r w:rsidRPr="002C3C06">
              <w:rPr>
                <w:rFonts w:eastAsia="Times New Roman" w:cs="Times New Roman"/>
                <w:color w:val="000000"/>
                <w:sz w:val="22"/>
                <w:lang w:eastAsia="lt-LT"/>
              </w:rPr>
              <w:t>Dalyvauja NVŠ programose, kurių NVŠ finansavimo pobūdis NVŠ tikslinis finansavimas</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1.635</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28,63</w:t>
            </w:r>
          </w:p>
        </w:tc>
        <w:tc>
          <w:tcPr>
            <w:tcW w:w="999"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1.306</w:t>
            </w:r>
          </w:p>
        </w:tc>
        <w:tc>
          <w:tcPr>
            <w:tcW w:w="960"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23,46</w:t>
            </w:r>
          </w:p>
        </w:tc>
        <w:tc>
          <w:tcPr>
            <w:tcW w:w="999"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1.521</w:t>
            </w:r>
          </w:p>
        </w:tc>
        <w:tc>
          <w:tcPr>
            <w:tcW w:w="960"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28,15</w:t>
            </w:r>
          </w:p>
        </w:tc>
      </w:tr>
      <w:tr w:rsidR="00B07158" w:rsidRPr="002C3C06" w:rsidTr="00CD42B2">
        <w:trPr>
          <w:trHeight w:val="300"/>
        </w:trPr>
        <w:tc>
          <w:tcPr>
            <w:tcW w:w="5902" w:type="dxa"/>
            <w:tcBorders>
              <w:top w:val="single" w:sz="4" w:space="0" w:color="auto"/>
              <w:left w:val="single" w:sz="4" w:space="0" w:color="auto"/>
              <w:bottom w:val="single" w:sz="4" w:space="0" w:color="auto"/>
              <w:right w:val="single" w:sz="4" w:space="0" w:color="auto"/>
            </w:tcBorders>
            <w:shd w:val="clear" w:color="auto" w:fill="auto"/>
            <w:noWrap/>
            <w:hideMark/>
          </w:tcPr>
          <w:p w:rsidR="00B07158" w:rsidRPr="002C3C06" w:rsidRDefault="00B07158" w:rsidP="000F66A2">
            <w:pPr>
              <w:spacing w:after="0" w:line="240" w:lineRule="auto"/>
              <w:rPr>
                <w:rFonts w:eastAsia="Times New Roman" w:cs="Times New Roman"/>
                <w:color w:val="000000"/>
                <w:sz w:val="22"/>
                <w:lang w:eastAsia="lt-LT"/>
              </w:rPr>
            </w:pPr>
            <w:r w:rsidRPr="002C3C06">
              <w:rPr>
                <w:rFonts w:eastAsia="Times New Roman" w:cs="Times New Roman"/>
                <w:color w:val="000000"/>
                <w:sz w:val="22"/>
                <w:lang w:eastAsia="lt-LT"/>
              </w:rPr>
              <w:t>Dalyvauja NVŠ programose, išskyrus NVŠ tikslinį finansavimą</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622</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10,89</w:t>
            </w:r>
          </w:p>
        </w:tc>
        <w:tc>
          <w:tcPr>
            <w:tcW w:w="999"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897</w:t>
            </w:r>
          </w:p>
        </w:tc>
        <w:tc>
          <w:tcPr>
            <w:tcW w:w="960"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16,12</w:t>
            </w:r>
          </w:p>
        </w:tc>
        <w:tc>
          <w:tcPr>
            <w:tcW w:w="999"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751</w:t>
            </w:r>
          </w:p>
        </w:tc>
        <w:tc>
          <w:tcPr>
            <w:tcW w:w="960"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13,9</w:t>
            </w:r>
          </w:p>
        </w:tc>
      </w:tr>
      <w:tr w:rsidR="00B07158" w:rsidRPr="002C3C06" w:rsidTr="00CD42B2">
        <w:trPr>
          <w:trHeight w:val="300"/>
        </w:trPr>
        <w:tc>
          <w:tcPr>
            <w:tcW w:w="5902" w:type="dxa"/>
            <w:tcBorders>
              <w:top w:val="single" w:sz="4" w:space="0" w:color="auto"/>
              <w:left w:val="single" w:sz="4" w:space="0" w:color="auto"/>
              <w:bottom w:val="single" w:sz="4" w:space="0" w:color="auto"/>
              <w:right w:val="single" w:sz="4" w:space="0" w:color="auto"/>
            </w:tcBorders>
            <w:shd w:val="clear" w:color="auto" w:fill="auto"/>
            <w:noWrap/>
            <w:hideMark/>
          </w:tcPr>
          <w:p w:rsidR="00B07158" w:rsidRPr="002C3C06" w:rsidRDefault="00B07158" w:rsidP="000F66A2">
            <w:pPr>
              <w:spacing w:after="0" w:line="240" w:lineRule="auto"/>
              <w:rPr>
                <w:rFonts w:eastAsia="Times New Roman" w:cs="Times New Roman"/>
                <w:color w:val="000000"/>
                <w:sz w:val="22"/>
                <w:lang w:eastAsia="lt-LT"/>
              </w:rPr>
            </w:pPr>
            <w:r w:rsidRPr="002C3C06">
              <w:rPr>
                <w:rFonts w:eastAsia="Times New Roman" w:cs="Times New Roman"/>
                <w:color w:val="000000"/>
                <w:sz w:val="22"/>
                <w:lang w:eastAsia="lt-LT"/>
              </w:rPr>
              <w:t>Dalyvauja formalųjį švietimą papildančio ugdymo programose</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949</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16,62</w:t>
            </w:r>
          </w:p>
        </w:tc>
        <w:tc>
          <w:tcPr>
            <w:tcW w:w="999"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868</w:t>
            </w:r>
          </w:p>
        </w:tc>
        <w:tc>
          <w:tcPr>
            <w:tcW w:w="960"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15,59</w:t>
            </w:r>
          </w:p>
        </w:tc>
        <w:tc>
          <w:tcPr>
            <w:tcW w:w="999"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843</w:t>
            </w:r>
          </w:p>
        </w:tc>
        <w:tc>
          <w:tcPr>
            <w:tcW w:w="960"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16,6</w:t>
            </w:r>
          </w:p>
        </w:tc>
      </w:tr>
      <w:tr w:rsidR="00B07158" w:rsidRPr="002C3C06" w:rsidTr="00CD42B2">
        <w:trPr>
          <w:trHeight w:val="300"/>
        </w:trPr>
        <w:tc>
          <w:tcPr>
            <w:tcW w:w="5902" w:type="dxa"/>
            <w:tcBorders>
              <w:top w:val="single" w:sz="4" w:space="0" w:color="auto"/>
              <w:left w:val="single" w:sz="4" w:space="0" w:color="auto"/>
              <w:bottom w:val="single" w:sz="4" w:space="0" w:color="auto"/>
              <w:right w:val="single" w:sz="4" w:space="0" w:color="auto"/>
            </w:tcBorders>
            <w:shd w:val="clear" w:color="auto" w:fill="auto"/>
            <w:noWrap/>
            <w:hideMark/>
          </w:tcPr>
          <w:p w:rsidR="00B07158" w:rsidRPr="002C3C06" w:rsidRDefault="00B07158" w:rsidP="000F66A2">
            <w:pPr>
              <w:spacing w:after="0" w:line="240" w:lineRule="auto"/>
              <w:rPr>
                <w:rFonts w:eastAsia="Times New Roman" w:cs="Times New Roman"/>
                <w:color w:val="000000"/>
                <w:sz w:val="22"/>
                <w:lang w:eastAsia="lt-LT"/>
              </w:rPr>
            </w:pPr>
            <w:r w:rsidRPr="002C3C06">
              <w:rPr>
                <w:rFonts w:eastAsia="Times New Roman" w:cs="Times New Roman"/>
                <w:color w:val="000000"/>
                <w:sz w:val="22"/>
                <w:lang w:eastAsia="lt-LT"/>
              </w:rPr>
              <w:t>Lanko BUM būrelius</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2.610</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45,71</w:t>
            </w:r>
          </w:p>
        </w:tc>
        <w:tc>
          <w:tcPr>
            <w:tcW w:w="999"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2.861</w:t>
            </w:r>
          </w:p>
        </w:tc>
        <w:tc>
          <w:tcPr>
            <w:tcW w:w="960"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51,4</w:t>
            </w:r>
          </w:p>
        </w:tc>
        <w:tc>
          <w:tcPr>
            <w:tcW w:w="999"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3.314</w:t>
            </w:r>
          </w:p>
        </w:tc>
        <w:tc>
          <w:tcPr>
            <w:tcW w:w="960"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61,34</w:t>
            </w:r>
          </w:p>
        </w:tc>
      </w:tr>
      <w:tr w:rsidR="00B07158" w:rsidRPr="002C3C06" w:rsidTr="00CD42B2">
        <w:trPr>
          <w:trHeight w:val="300"/>
        </w:trPr>
        <w:tc>
          <w:tcPr>
            <w:tcW w:w="5902" w:type="dxa"/>
            <w:tcBorders>
              <w:top w:val="single" w:sz="4" w:space="0" w:color="auto"/>
              <w:left w:val="single" w:sz="4" w:space="0" w:color="auto"/>
              <w:bottom w:val="single" w:sz="4" w:space="0" w:color="auto"/>
              <w:right w:val="single" w:sz="4" w:space="0" w:color="auto"/>
            </w:tcBorders>
            <w:shd w:val="clear" w:color="auto" w:fill="auto"/>
            <w:noWrap/>
            <w:hideMark/>
          </w:tcPr>
          <w:p w:rsidR="00B07158" w:rsidRPr="002C3C06" w:rsidRDefault="00B07158" w:rsidP="000F66A2">
            <w:pPr>
              <w:spacing w:after="0" w:line="240" w:lineRule="auto"/>
              <w:rPr>
                <w:rFonts w:eastAsia="Times New Roman" w:cs="Times New Roman"/>
                <w:color w:val="000000"/>
                <w:sz w:val="22"/>
                <w:lang w:eastAsia="lt-LT"/>
              </w:rPr>
            </w:pPr>
            <w:r w:rsidRPr="002C3C06">
              <w:rPr>
                <w:rFonts w:eastAsia="Times New Roman" w:cs="Times New Roman"/>
                <w:color w:val="000000"/>
                <w:sz w:val="22"/>
                <w:lang w:eastAsia="lt-LT"/>
              </w:rPr>
              <w:t>Dalyvauja NVŠ programose arba lanko BUM būrelius</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3.982</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69,74</w:t>
            </w:r>
          </w:p>
        </w:tc>
        <w:tc>
          <w:tcPr>
            <w:tcW w:w="999"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3.952</w:t>
            </w:r>
          </w:p>
        </w:tc>
        <w:tc>
          <w:tcPr>
            <w:tcW w:w="960"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71</w:t>
            </w:r>
          </w:p>
        </w:tc>
        <w:tc>
          <w:tcPr>
            <w:tcW w:w="999"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4.130</w:t>
            </w:r>
          </w:p>
        </w:tc>
        <w:tc>
          <w:tcPr>
            <w:tcW w:w="960" w:type="dxa"/>
            <w:tcBorders>
              <w:top w:val="nil"/>
              <w:left w:val="nil"/>
              <w:bottom w:val="single" w:sz="4" w:space="0" w:color="auto"/>
              <w:right w:val="single" w:sz="4" w:space="0" w:color="auto"/>
            </w:tcBorders>
            <w:shd w:val="clear" w:color="auto" w:fill="auto"/>
            <w:noWrap/>
            <w:hideMark/>
          </w:tcPr>
          <w:p w:rsidR="00B07158" w:rsidRPr="002C3C06" w:rsidRDefault="00B07158" w:rsidP="000F66A2">
            <w:pPr>
              <w:spacing w:after="0" w:line="240" w:lineRule="auto"/>
              <w:jc w:val="center"/>
              <w:rPr>
                <w:rFonts w:eastAsia="Times New Roman" w:cs="Times New Roman"/>
                <w:color w:val="000000"/>
                <w:sz w:val="22"/>
                <w:lang w:eastAsia="lt-LT"/>
              </w:rPr>
            </w:pPr>
            <w:r w:rsidRPr="002C3C06">
              <w:rPr>
                <w:rFonts w:eastAsia="Times New Roman" w:cs="Times New Roman"/>
                <w:color w:val="000000"/>
                <w:sz w:val="22"/>
                <w:lang w:eastAsia="lt-LT"/>
              </w:rPr>
              <w:t>76,44</w:t>
            </w:r>
          </w:p>
        </w:tc>
      </w:tr>
    </w:tbl>
    <w:p w:rsidR="00B07158" w:rsidRPr="00BF16CC" w:rsidRDefault="00B07158" w:rsidP="00B07158">
      <w:pPr>
        <w:spacing w:after="0"/>
        <w:rPr>
          <w:rFonts w:cs="Times New Roman"/>
          <w:sz w:val="20"/>
          <w:szCs w:val="20"/>
        </w:rPr>
      </w:pPr>
      <w:r w:rsidRPr="00BF16CC">
        <w:rPr>
          <w:rFonts w:cs="Times New Roman"/>
          <w:sz w:val="20"/>
          <w:szCs w:val="20"/>
        </w:rPr>
        <w:t>Pastaba. Be ikimokyklinukų ir priešmokyklinukų.</w:t>
      </w:r>
    </w:p>
    <w:p w:rsidR="00B07158" w:rsidRPr="002C3C06" w:rsidRDefault="00B07158" w:rsidP="00B07158">
      <w:pPr>
        <w:spacing w:after="0"/>
        <w:rPr>
          <w:rFonts w:cs="Times New Roman"/>
          <w:i/>
          <w:sz w:val="20"/>
          <w:szCs w:val="20"/>
        </w:rPr>
      </w:pPr>
      <w:r w:rsidRPr="002C3C06">
        <w:rPr>
          <w:rFonts w:cs="Times New Roman"/>
          <w:i/>
          <w:sz w:val="20"/>
          <w:szCs w:val="20"/>
        </w:rPr>
        <w:t>Duomenų šaltinis: ŠVIS</w:t>
      </w:r>
    </w:p>
    <w:p w:rsidR="00B07158" w:rsidRDefault="00B07158" w:rsidP="00B07158">
      <w:pPr>
        <w:spacing w:after="0"/>
        <w:jc w:val="both"/>
        <w:rPr>
          <w:rFonts w:cs="Times New Roman"/>
          <w:szCs w:val="24"/>
        </w:rPr>
      </w:pPr>
    </w:p>
    <w:p w:rsidR="00B07158" w:rsidRDefault="00B07158" w:rsidP="00B07158">
      <w:pPr>
        <w:spacing w:after="0"/>
        <w:ind w:firstLine="851"/>
        <w:jc w:val="both"/>
        <w:rPr>
          <w:szCs w:val="24"/>
          <w:lang w:eastAsia="lt-LT"/>
        </w:rPr>
      </w:pPr>
      <w:r>
        <w:rPr>
          <w:rFonts w:cs="Times New Roman"/>
          <w:szCs w:val="24"/>
        </w:rPr>
        <w:t>Kėdainių rajono savivaldybės 2017–2019 m. strateginiame veiklos plane uždavinys „</w:t>
      </w:r>
      <w:r w:rsidRPr="00016B08">
        <w:t>Užtikrinti efektyvią ugdymo įstaigų veiklą</w:t>
      </w:r>
      <w:r>
        <w:rPr>
          <w:b/>
        </w:rPr>
        <w:t>“</w:t>
      </w:r>
      <w:r>
        <w:rPr>
          <w:rFonts w:cs="Times New Roman"/>
          <w:szCs w:val="24"/>
        </w:rPr>
        <w:t xml:space="preserve"> papildytas nauja priemone „</w:t>
      </w:r>
      <w:r w:rsidRPr="00016B08">
        <w:t>Vykdyti neformaliojo vaikų švietimo programas</w:t>
      </w:r>
      <w:r>
        <w:rPr>
          <w:rFonts w:cs="Times New Roman"/>
          <w:szCs w:val="24"/>
        </w:rPr>
        <w:t>“.</w:t>
      </w:r>
      <w:r w:rsidRPr="00AB3252">
        <w:rPr>
          <w:szCs w:val="24"/>
        </w:rPr>
        <w:t xml:space="preserve"> </w:t>
      </w:r>
      <w:r>
        <w:rPr>
          <w:szCs w:val="24"/>
        </w:rPr>
        <w:t xml:space="preserve">Remiantis naujais švietimo ir mokslo ministro dokumentais ir kintančia lėšų </w:t>
      </w:r>
      <w:r w:rsidRPr="00AB3252">
        <w:rPr>
          <w:szCs w:val="24"/>
        </w:rPr>
        <w:t xml:space="preserve">apskaičiavimo ir paskirstymo metodika, kasmet atnaujinamas Kėdainių rajono savivaldybės </w:t>
      </w:r>
      <w:r w:rsidRPr="00892B22">
        <w:rPr>
          <w:b/>
          <w:szCs w:val="24"/>
        </w:rPr>
        <w:t>neformaliojo vaikų švietimo lėšų skyrimo ir naudojimo</w:t>
      </w:r>
      <w:r w:rsidRPr="00AB3252">
        <w:rPr>
          <w:szCs w:val="24"/>
        </w:rPr>
        <w:t xml:space="preserve"> tvarkos aprašas</w:t>
      </w:r>
      <w:r w:rsidR="00F412A1">
        <w:rPr>
          <w:szCs w:val="24"/>
        </w:rPr>
        <w:t xml:space="preserve"> (</w:t>
      </w:r>
      <w:r>
        <w:rPr>
          <w:szCs w:val="24"/>
        </w:rPr>
        <w:t xml:space="preserve">Kėdainių rajono savivaldybės tarybos 2018 m. spalio 26 d. sprendimu Nr. TS-187 patvirtintas </w:t>
      </w:r>
      <w:r>
        <w:rPr>
          <w:szCs w:val="24"/>
          <w:lang w:eastAsia="lt-LT"/>
        </w:rPr>
        <w:t>Kėdainių rajono savivaldybės neformaliojo vaikų švietimo lėšų skyrimo ir naudojimo tvarkos aprašas</w:t>
      </w:r>
      <w:r w:rsidR="00F412A1">
        <w:rPr>
          <w:szCs w:val="24"/>
          <w:lang w:eastAsia="lt-LT"/>
        </w:rPr>
        <w:t>)</w:t>
      </w:r>
      <w:r>
        <w:rPr>
          <w:szCs w:val="24"/>
          <w:lang w:eastAsia="lt-LT"/>
        </w:rPr>
        <w:t>.</w:t>
      </w:r>
    </w:p>
    <w:p w:rsidR="00B07158" w:rsidRPr="00AB3252" w:rsidRDefault="00B07158" w:rsidP="00B07158">
      <w:pPr>
        <w:spacing w:after="0"/>
        <w:ind w:firstLine="851"/>
        <w:jc w:val="both"/>
      </w:pPr>
      <w:r w:rsidRPr="00AB3252">
        <w:t>2016 m. vasario–birželio mėn. buvo NVŠ 35 teikėjai (biudžetinės įstaigos – 28,57 proc.), dirbta pagal 59 program</w:t>
      </w:r>
      <w:r w:rsidR="00F412A1">
        <w:t>a</w:t>
      </w:r>
      <w:r w:rsidRPr="00AB3252">
        <w:t xml:space="preserve">s (biudžetinių įstaigų – 49,15 proc.); programas lankė 2095 vaikai </w:t>
      </w:r>
      <w:r w:rsidRPr="00791D30">
        <w:t>(pagal biud</w:t>
      </w:r>
      <w:r>
        <w:t xml:space="preserve">žetinių įstaigų programas </w:t>
      </w:r>
      <w:r w:rsidRPr="006F41C8">
        <w:t>lankė 28</w:t>
      </w:r>
      <w:r w:rsidRPr="008B00AE">
        <w:t>,35</w:t>
      </w:r>
      <w:r w:rsidRPr="00557D62">
        <w:t xml:space="preserve"> </w:t>
      </w:r>
      <w:r>
        <w:t>proc.</w:t>
      </w:r>
      <w:r w:rsidRPr="008B00AE">
        <w:t xml:space="preserve"> vaikų</w:t>
      </w:r>
      <w:r>
        <w:t>, besimokančių bendrojo ugdymo mokyklose</w:t>
      </w:r>
      <w:r w:rsidRPr="008B00AE">
        <w:t xml:space="preserve">), iš jų sporto ir turizmo veiklose dalyvavo 34,51 </w:t>
      </w:r>
      <w:r>
        <w:t>proc.</w:t>
      </w:r>
      <w:r w:rsidRPr="008B00AE">
        <w:t xml:space="preserve"> vaikų</w:t>
      </w:r>
      <w:r>
        <w:t>; programose dalyvavo vaikai ir iš k</w:t>
      </w:r>
      <w:r w:rsidRPr="008B00AE">
        <w:t>aimo vietov</w:t>
      </w:r>
      <w:r>
        <w:t>ių</w:t>
      </w:r>
      <w:r w:rsidRPr="008B00AE">
        <w:t xml:space="preserve"> – 57,24 </w:t>
      </w:r>
      <w:r>
        <w:t>proc.</w:t>
      </w:r>
      <w:r w:rsidRPr="008B00AE">
        <w:t xml:space="preserve"> vaikų. Rugsėjo–gruodžio mėn. veikė NVŠ 53 programos, buvo 30 teikėjų, programas lankė </w:t>
      </w:r>
      <w:r w:rsidRPr="00AB3252">
        <w:t>vidutiniškai 1770 vaikų.</w:t>
      </w:r>
    </w:p>
    <w:p w:rsidR="00B07158" w:rsidRPr="00AB3252" w:rsidRDefault="00B07158" w:rsidP="00B07158">
      <w:pPr>
        <w:spacing w:after="0"/>
        <w:ind w:firstLine="851"/>
        <w:jc w:val="both"/>
        <w:rPr>
          <w:szCs w:val="24"/>
        </w:rPr>
      </w:pPr>
      <w:r w:rsidRPr="00AB3252">
        <w:rPr>
          <w:szCs w:val="24"/>
        </w:rPr>
        <w:t xml:space="preserve">2017 m. </w:t>
      </w:r>
      <w:r>
        <w:rPr>
          <w:szCs w:val="24"/>
        </w:rPr>
        <w:t xml:space="preserve">pradžioje </w:t>
      </w:r>
      <w:r w:rsidRPr="00AB3252">
        <w:rPr>
          <w:szCs w:val="24"/>
        </w:rPr>
        <w:t>vis</w:t>
      </w:r>
      <w:r>
        <w:rPr>
          <w:szCs w:val="24"/>
        </w:rPr>
        <w:t xml:space="preserve">os </w:t>
      </w:r>
      <w:r w:rsidRPr="00AB3252">
        <w:rPr>
          <w:szCs w:val="24"/>
        </w:rPr>
        <w:t>nustatyt</w:t>
      </w:r>
      <w:r>
        <w:rPr>
          <w:szCs w:val="24"/>
        </w:rPr>
        <w:t>os lėšos pagal</w:t>
      </w:r>
      <w:r w:rsidRPr="00AB3252">
        <w:rPr>
          <w:szCs w:val="24"/>
        </w:rPr>
        <w:t xml:space="preserve"> tikslinę valstybės dotaciją </w:t>
      </w:r>
      <w:r>
        <w:rPr>
          <w:szCs w:val="24"/>
        </w:rPr>
        <w:t>n</w:t>
      </w:r>
      <w:r w:rsidRPr="00AB3252">
        <w:rPr>
          <w:szCs w:val="24"/>
        </w:rPr>
        <w:t>ebuvo gaut</w:t>
      </w:r>
      <w:r>
        <w:rPr>
          <w:szCs w:val="24"/>
        </w:rPr>
        <w:t>os</w:t>
      </w:r>
      <w:r w:rsidRPr="00AB3252">
        <w:rPr>
          <w:szCs w:val="24"/>
        </w:rPr>
        <w:t>, todėl</w:t>
      </w:r>
      <w:r>
        <w:rPr>
          <w:szCs w:val="24"/>
        </w:rPr>
        <w:t xml:space="preserve">, pasirašant rajono savivaldybės administracijos ir teikėjų sutartis, </w:t>
      </w:r>
      <w:r w:rsidRPr="00AB3252">
        <w:rPr>
          <w:szCs w:val="24"/>
        </w:rPr>
        <w:t>mažėjo dalyvaujančių vaikų skaičius. Vasario–gegužės mėn. buvo NVŠ 27 teikėjai, dirbta pagal 44 programą, vidutiniškai finansuotos 1490 vaikų (1–12 kl.) veiklos; vi</w:t>
      </w:r>
      <w:r w:rsidRPr="00AB3252">
        <w:rPr>
          <w:rFonts w:eastAsia="Times New Roman" w:cs="Times New Roman"/>
          <w:szCs w:val="24"/>
          <w:lang w:eastAsia="lt-LT"/>
        </w:rPr>
        <w:t xml:space="preserve">enam vaikui ugdyti pagal NVŠ programą vasario–gegužės mėn. paskirta 10 Eur per mėnesį. </w:t>
      </w:r>
      <w:r w:rsidRPr="00AB3252">
        <w:rPr>
          <w:szCs w:val="24"/>
        </w:rPr>
        <w:t>Spalio–gruodžio mėn. veikė NVŠ 39 programos, buvo 27 teikėjai, vidutiniškai finansuotos 1400 vaikų (1–12 kl.) veiklos; vi</w:t>
      </w:r>
      <w:r w:rsidRPr="00AB3252">
        <w:rPr>
          <w:rFonts w:eastAsia="Times New Roman" w:cs="Times New Roman"/>
          <w:szCs w:val="24"/>
          <w:lang w:eastAsia="lt-LT"/>
        </w:rPr>
        <w:t xml:space="preserve">enam vaikui ugdyti pagal NVŠ programą spalio–gruodžio mėn. paskirta 19 Eur per mėnesį. </w:t>
      </w:r>
      <w:r w:rsidRPr="00AB3252">
        <w:rPr>
          <w:szCs w:val="24"/>
        </w:rPr>
        <w:t>2017 m. rudenį pagal kryptis dominavo NVŠ programos: šokis ir choreografija 8; technologijos 8; sportas 7; turizmas 1; etnokultūra 4; muzika 3; teatras ir drama, informacinės technologijos, kalbos –</w:t>
      </w:r>
      <w:r>
        <w:rPr>
          <w:szCs w:val="24"/>
        </w:rPr>
        <w:t xml:space="preserve"> </w:t>
      </w:r>
      <w:r w:rsidRPr="00AB3252">
        <w:rPr>
          <w:szCs w:val="24"/>
        </w:rPr>
        <w:t>po 2; pilietiškumas, kita – po 1. N</w:t>
      </w:r>
      <w:r>
        <w:rPr>
          <w:szCs w:val="24"/>
        </w:rPr>
        <w:t xml:space="preserve">ebuvo </w:t>
      </w:r>
      <w:r w:rsidRPr="00AB3252">
        <w:rPr>
          <w:szCs w:val="24"/>
        </w:rPr>
        <w:t xml:space="preserve">dailės, medijų, gamtos ir ekologijos </w:t>
      </w:r>
      <w:r>
        <w:rPr>
          <w:szCs w:val="24"/>
        </w:rPr>
        <w:t xml:space="preserve">krypties </w:t>
      </w:r>
      <w:r w:rsidRPr="00AB3252">
        <w:rPr>
          <w:szCs w:val="24"/>
        </w:rPr>
        <w:t>programų; 2017 m. atsisakyta arba atsisakė NVŠ teikėjai dirbti pagal techninės kūrybos, saugaus eismo, sveikatos ugdymo, socialinių gebėjimų ugdymo programas.</w:t>
      </w:r>
    </w:p>
    <w:p w:rsidR="00B07158" w:rsidRDefault="00B07158" w:rsidP="00B07158">
      <w:pPr>
        <w:spacing w:after="0"/>
        <w:ind w:firstLine="851"/>
        <w:jc w:val="both"/>
        <w:rPr>
          <w:szCs w:val="24"/>
        </w:rPr>
      </w:pPr>
      <w:r>
        <w:rPr>
          <w:rFonts w:cs="Times New Roman"/>
          <w:szCs w:val="24"/>
        </w:rPr>
        <w:t xml:space="preserve">NVŠ programose pagal tikslinį finansavimą 2018 m. rudenį dalyvavo 28 proc. mokinių, besimokančių bendrojo ugdymo mokyklose. 2018 m. lapkričio mėn. buvo 43 programos: iš jų </w:t>
      </w:r>
      <w:r w:rsidRPr="00AB3252">
        <w:rPr>
          <w:szCs w:val="24"/>
        </w:rPr>
        <w:t>–</w:t>
      </w:r>
      <w:r>
        <w:rPr>
          <w:rFonts w:cs="Times New Roman"/>
          <w:szCs w:val="24"/>
        </w:rPr>
        <w:t xml:space="preserve"> 16 programų, kurias vykdė biudžetinės įstaigos; 27 programos, kurių teikėjai – nevyriausybinės organizacijos (NVO ir laisvieji mokytojai</w:t>
      </w:r>
      <w:r w:rsidR="00F412A1">
        <w:rPr>
          <w:rFonts w:cs="Times New Roman"/>
          <w:szCs w:val="24"/>
        </w:rPr>
        <w:t xml:space="preserve">; </w:t>
      </w:r>
      <w:r>
        <w:rPr>
          <w:rFonts w:cs="Times New Roman"/>
          <w:szCs w:val="24"/>
        </w:rPr>
        <w:t xml:space="preserve">tai 62,8 proc. visų teikėjų; pastarosioms programoms skiriama apie 81 proc. lėšų). Pagal ugdymo kryptis 2018 m. lapkričio mėn. tarp 43 programų dominavo šios kryptys: technologijų – 9 programos (21 proc. visų programų; tačiau dėl specifinės veiklos, </w:t>
      </w:r>
      <w:r>
        <w:rPr>
          <w:rFonts w:cs="Times New Roman"/>
          <w:szCs w:val="24"/>
        </w:rPr>
        <w:lastRenderedPageBreak/>
        <w:t xml:space="preserve">priemonių ir metodų jas lanko daugmaž 10 proc. visų mokinių, dalyvaujančių NVŠ programose pagal tikslinį finansavimą); sporto ir turizmo – 9 programos (daugmaž 42 proc. visų mokinių, dalyvaujančių NVŠ programose pagal tikslinį finansavimą); choreografijos ir šokio – 7; etnokultūros – 4; muzikos ir teatro – po 3; kalbų ir pilietiškumo – po 2; informacinių </w:t>
      </w:r>
      <w:r w:rsidRPr="00BF16CC">
        <w:rPr>
          <w:rFonts w:cs="Times New Roman"/>
          <w:szCs w:val="24"/>
        </w:rPr>
        <w:t xml:space="preserve">technologijų – 1; kitų </w:t>
      </w:r>
      <w:r w:rsidRPr="00BF16CC">
        <w:rPr>
          <w:color w:val="000000"/>
          <w:szCs w:val="24"/>
        </w:rPr>
        <w:t xml:space="preserve">(dorinio ugdymo; socialinių gebėjimų ugdymo; emocinis intelektas) </w:t>
      </w:r>
      <w:r w:rsidRPr="00BF16CC">
        <w:rPr>
          <w:rFonts w:cs="Times New Roman"/>
          <w:szCs w:val="24"/>
        </w:rPr>
        <w:t>– 3.</w:t>
      </w:r>
      <w:r>
        <w:rPr>
          <w:rFonts w:cs="Times New Roman"/>
          <w:szCs w:val="24"/>
        </w:rPr>
        <w:t xml:space="preserve"> </w:t>
      </w:r>
      <w:r w:rsidRPr="00BF16CC">
        <w:rPr>
          <w:rFonts w:cs="Times New Roman"/>
          <w:szCs w:val="24"/>
        </w:rPr>
        <w:t xml:space="preserve">Nėra </w:t>
      </w:r>
      <w:r>
        <w:rPr>
          <w:rFonts w:cs="Times New Roman"/>
          <w:szCs w:val="24"/>
        </w:rPr>
        <w:t xml:space="preserve">programų pagal </w:t>
      </w:r>
      <w:r w:rsidRPr="00BF16CC">
        <w:rPr>
          <w:rFonts w:cs="Times New Roman"/>
          <w:szCs w:val="24"/>
        </w:rPr>
        <w:t>kryp</w:t>
      </w:r>
      <w:r>
        <w:rPr>
          <w:rFonts w:cs="Times New Roman"/>
          <w:szCs w:val="24"/>
        </w:rPr>
        <w:t>tis</w:t>
      </w:r>
      <w:r w:rsidRPr="00BF16CC">
        <w:rPr>
          <w:rFonts w:cs="Times New Roman"/>
          <w:szCs w:val="24"/>
        </w:rPr>
        <w:t>: dailė, t</w:t>
      </w:r>
      <w:r w:rsidRPr="00BF16CC">
        <w:rPr>
          <w:szCs w:val="24"/>
        </w:rPr>
        <w:t>echninė kūryba, gamta, saugus eismas, medijos.</w:t>
      </w:r>
    </w:p>
    <w:p w:rsidR="00B07158" w:rsidRDefault="00B07158" w:rsidP="00B07158">
      <w:pPr>
        <w:spacing w:after="0"/>
        <w:ind w:firstLine="851"/>
        <w:jc w:val="both"/>
        <w:rPr>
          <w:szCs w:val="24"/>
        </w:rPr>
      </w:pPr>
      <w:r>
        <w:rPr>
          <w:rFonts w:cs="Times New Roman"/>
          <w:szCs w:val="24"/>
        </w:rPr>
        <w:t xml:space="preserve">Kėdainių rajono savivaldybės tarybos 2015 m. spalio 30 d. sprendimu Nr. TS-242 </w:t>
      </w:r>
      <w:r w:rsidRPr="00892B22">
        <w:rPr>
          <w:rFonts w:cs="Times New Roman"/>
          <w:b/>
          <w:szCs w:val="24"/>
        </w:rPr>
        <w:t xml:space="preserve">važiavimo išlaidos </w:t>
      </w:r>
      <w:r>
        <w:rPr>
          <w:rFonts w:cs="Times New Roman"/>
          <w:szCs w:val="24"/>
        </w:rPr>
        <w:t xml:space="preserve">gali būti </w:t>
      </w:r>
      <w:r w:rsidRPr="00892B22">
        <w:rPr>
          <w:rFonts w:cs="Times New Roman"/>
          <w:b/>
          <w:szCs w:val="24"/>
        </w:rPr>
        <w:t>kompensuojamos</w:t>
      </w:r>
      <w:r>
        <w:rPr>
          <w:rFonts w:cs="Times New Roman"/>
          <w:szCs w:val="24"/>
        </w:rPr>
        <w:t xml:space="preserve"> kaimuose ir miesteliuose gyvenantiems 1–12 klasių mokiniams darbo ir nedarbo dienomis, važiuojantiems į neformaliojo vaikų švietimo užsiėmimus, kuriuos vykdo švietimo teikėjai, įgyvendinantys programas neformaliojo vaikų švietimo lėšomis, turintys teisę vykdyti šią veiklą ir registruoti švietimo ir mokslo institucijų registre.</w:t>
      </w:r>
    </w:p>
    <w:p w:rsidR="00B07158" w:rsidRDefault="00B07158" w:rsidP="00B07158">
      <w:pPr>
        <w:spacing w:after="0"/>
        <w:jc w:val="both"/>
        <w:rPr>
          <w:szCs w:val="24"/>
          <w:lang w:eastAsia="lt-LT"/>
        </w:rPr>
      </w:pPr>
    </w:p>
    <w:p w:rsidR="00855C17" w:rsidRPr="00210C15" w:rsidRDefault="00B07158" w:rsidP="00B07158">
      <w:pPr>
        <w:spacing w:after="0" w:line="240" w:lineRule="auto"/>
        <w:ind w:firstLine="851"/>
        <w:jc w:val="both"/>
        <w:rPr>
          <w:szCs w:val="24"/>
          <w:lang w:eastAsia="lt-LT"/>
        </w:rPr>
      </w:pPr>
      <w:r w:rsidRPr="00210C15">
        <w:rPr>
          <w:szCs w:val="24"/>
          <w:lang w:eastAsia="lt-LT"/>
        </w:rPr>
        <w:t>Įgyvendinama priemonė „</w:t>
      </w:r>
      <w:r w:rsidRPr="00210C15">
        <w:t>Užtikrinti veiklą Dailės, Kalbų, Muzikos mokyklose bei Sporto centre, vykdančiuose formalųjį švietimą papildančio ugdymo programas</w:t>
      </w:r>
      <w:r w:rsidRPr="00210C15">
        <w:rPr>
          <w:szCs w:val="24"/>
          <w:lang w:eastAsia="lt-LT"/>
        </w:rPr>
        <w:t>“ (uždavinys „</w:t>
      </w:r>
      <w:r w:rsidRPr="00210C15">
        <w:t>Užtikrinti efektyvią ugdymo įstaigų veiklą</w:t>
      </w:r>
      <w:r w:rsidRPr="00210C15">
        <w:rPr>
          <w:szCs w:val="24"/>
          <w:lang w:eastAsia="lt-LT"/>
        </w:rPr>
        <w:t xml:space="preserve">“). </w:t>
      </w:r>
      <w:r w:rsidR="00060DD7" w:rsidRPr="00210C15">
        <w:rPr>
          <w:szCs w:val="24"/>
          <w:lang w:eastAsia="lt-LT"/>
        </w:rPr>
        <w:t>Nors minėtos biudžetinės įstaigos vykdo tik vienos specifinės krypties programas, bet yra skirtingų krypčių programų pasiūla</w:t>
      </w:r>
      <w:r w:rsidR="0072706B" w:rsidRPr="00210C15">
        <w:rPr>
          <w:szCs w:val="24"/>
          <w:lang w:eastAsia="lt-LT"/>
        </w:rPr>
        <w:t xml:space="preserve"> pagal gebėjimus, vaikų ir tėvų lūkesčius</w:t>
      </w:r>
      <w:r w:rsidR="00060DD7" w:rsidRPr="00210C15">
        <w:rPr>
          <w:szCs w:val="24"/>
          <w:lang w:eastAsia="lt-LT"/>
        </w:rPr>
        <w:t xml:space="preserve">. </w:t>
      </w:r>
      <w:r w:rsidRPr="00210C15">
        <w:rPr>
          <w:szCs w:val="24"/>
          <w:lang w:eastAsia="lt-LT"/>
        </w:rPr>
        <w:t xml:space="preserve">Sukurtas pakankamas </w:t>
      </w:r>
      <w:r w:rsidRPr="00210C15">
        <w:rPr>
          <w:b/>
          <w:szCs w:val="24"/>
          <w:lang w:eastAsia="lt-LT"/>
        </w:rPr>
        <w:t>neformaliojo vaikų švietimo</w:t>
      </w:r>
      <w:r w:rsidRPr="00210C15">
        <w:rPr>
          <w:szCs w:val="24"/>
          <w:lang w:eastAsia="lt-LT"/>
        </w:rPr>
        <w:t xml:space="preserve"> (NVŠ) </w:t>
      </w:r>
      <w:r w:rsidRPr="00210C15">
        <w:rPr>
          <w:b/>
          <w:szCs w:val="24"/>
          <w:lang w:eastAsia="lt-LT"/>
        </w:rPr>
        <w:t>mokyklų ir formalųjį švietimą papildančio ugdymo</w:t>
      </w:r>
      <w:r w:rsidRPr="00210C15">
        <w:rPr>
          <w:szCs w:val="24"/>
          <w:lang w:eastAsia="lt-LT"/>
        </w:rPr>
        <w:t xml:space="preserve"> (FŠPU) </w:t>
      </w:r>
      <w:r w:rsidRPr="00210C15">
        <w:rPr>
          <w:b/>
          <w:szCs w:val="24"/>
          <w:lang w:eastAsia="lt-LT"/>
        </w:rPr>
        <w:t>mokyklų tinklas</w:t>
      </w:r>
      <w:r w:rsidRPr="00210C15">
        <w:rPr>
          <w:szCs w:val="24"/>
          <w:lang w:eastAsia="lt-LT"/>
        </w:rPr>
        <w:t xml:space="preserve"> </w:t>
      </w:r>
      <w:r w:rsidRPr="00210C15">
        <w:t>(Dailės, Kalbų ir Muzikos mokyklos, Sporto centras)</w:t>
      </w:r>
      <w:r w:rsidRPr="00210C15">
        <w:rPr>
          <w:szCs w:val="24"/>
          <w:lang w:eastAsia="lt-LT"/>
        </w:rPr>
        <w:t>, kuris tenkina besimokančiųjų vaikų ir jų tėvų poreikius</w:t>
      </w:r>
      <w:r w:rsidR="00060DD7" w:rsidRPr="00210C15">
        <w:rPr>
          <w:szCs w:val="24"/>
          <w:lang w:eastAsia="lt-LT"/>
        </w:rPr>
        <w:t>, užtikrina vienodas galimybes mokiniams dalyvauti neformaliajame švietime, sudaro sąlygas plėtoti neformaliojo švietimo prieinamumą</w:t>
      </w:r>
      <w:r w:rsidRPr="00210C15">
        <w:rPr>
          <w:szCs w:val="24"/>
          <w:lang w:eastAsia="lt-LT"/>
        </w:rPr>
        <w:t xml:space="preserve">. </w:t>
      </w:r>
      <w:r w:rsidR="00855C17" w:rsidRPr="00210C15">
        <w:rPr>
          <w:szCs w:val="24"/>
          <w:lang w:eastAsia="lt-LT"/>
        </w:rPr>
        <w:t xml:space="preserve">Tose 4 mokyklose </w:t>
      </w:r>
      <w:r w:rsidR="00855C17" w:rsidRPr="00210C15">
        <w:rPr>
          <w:szCs w:val="24"/>
        </w:rPr>
        <w:t>2018 m. ugdyti 1 661 vaikas (iš jų – 303 ikimokyklinukai ir priešmokyklinukai) (2017 m. – 1738 vaikai</w:t>
      </w:r>
      <w:r w:rsidR="00731E8E" w:rsidRPr="00210C15">
        <w:rPr>
          <w:szCs w:val="24"/>
        </w:rPr>
        <w:t>, 2016 m,. – 1757 vaikai</w:t>
      </w:r>
      <w:r w:rsidR="00855C17" w:rsidRPr="00210C15">
        <w:rPr>
          <w:szCs w:val="24"/>
        </w:rPr>
        <w:t>).</w:t>
      </w:r>
      <w:r w:rsidR="00060DD7" w:rsidRPr="00210C15">
        <w:rPr>
          <w:szCs w:val="24"/>
        </w:rPr>
        <w:t xml:space="preserve"> Tačiau nepakankama gamtosaugos, technikos programų pasiūla.</w:t>
      </w:r>
    </w:p>
    <w:p w:rsidR="00855C17" w:rsidRPr="00210C15" w:rsidRDefault="00B07158" w:rsidP="00B07158">
      <w:pPr>
        <w:spacing w:after="0" w:line="240" w:lineRule="auto"/>
        <w:ind w:firstLine="851"/>
        <w:jc w:val="both"/>
      </w:pPr>
      <w:r w:rsidRPr="00210C15">
        <w:rPr>
          <w:szCs w:val="24"/>
          <w:lang w:eastAsia="lt-LT"/>
        </w:rPr>
        <w:t>V</w:t>
      </w:r>
      <w:r w:rsidRPr="00210C15">
        <w:t>aikai taip pat mokosi Kėdainių suaugusiųjų ir jaunimo mokymo centro Neformaliojo vaikų švietimo skyriuje, Kėdainių šviesiosios gimnazijos Sėkmės ir lyderystės mokykloje bei šeštadieninėje (sekmadieninėje) rusų mokykloje (prie Kėdainių lopšelio-darželio ,,Aviliukas“).</w:t>
      </w:r>
      <w:r w:rsidR="00855C17" w:rsidRPr="00210C15">
        <w:rPr>
          <w:szCs w:val="24"/>
        </w:rPr>
        <w:t xml:space="preserve"> Išvardintose įstaigose 2018 m. mokėsi 581 vaikas (2017 m. – 576 vaikai</w:t>
      </w:r>
      <w:r w:rsidR="00731E8E" w:rsidRPr="00210C15">
        <w:rPr>
          <w:szCs w:val="24"/>
        </w:rPr>
        <w:t>, 2016 m. – 711 vaikų</w:t>
      </w:r>
      <w:r w:rsidR="00855C17" w:rsidRPr="00210C15">
        <w:rPr>
          <w:szCs w:val="24"/>
        </w:rPr>
        <w:t>).</w:t>
      </w:r>
    </w:p>
    <w:p w:rsidR="00B07158" w:rsidRPr="00210C15" w:rsidRDefault="00B07158" w:rsidP="00B07158">
      <w:pPr>
        <w:spacing w:after="0" w:line="240" w:lineRule="auto"/>
        <w:ind w:firstLine="851"/>
        <w:jc w:val="both"/>
        <w:rPr>
          <w:szCs w:val="24"/>
          <w:lang w:eastAsia="lt-LT"/>
        </w:rPr>
      </w:pPr>
      <w:r w:rsidRPr="00210C15">
        <w:rPr>
          <w:szCs w:val="24"/>
          <w:lang w:eastAsia="lt-LT"/>
        </w:rPr>
        <w:t>Pagal FŠPU programas besimokančiųjų skaičius daugmaž išlieka stabilus – 2016–2018 metais dalyvauja apie 16–17 proc. mokinių. Atkreiptina, kad 2017 m. rudenį sumažėjo besimokančiųjų skaičius Kėdainių sporto centre, nes čia buvo sumažintas maksimalus valandų skaičius</w:t>
      </w:r>
      <w:r w:rsidR="006F41C8" w:rsidRPr="00210C15">
        <w:rPr>
          <w:szCs w:val="24"/>
          <w:lang w:eastAsia="lt-LT"/>
        </w:rPr>
        <w:t xml:space="preserve"> – </w:t>
      </w:r>
      <w:r w:rsidRPr="00210C15">
        <w:rPr>
          <w:szCs w:val="24"/>
          <w:lang w:eastAsia="lt-LT"/>
        </w:rPr>
        <w:t xml:space="preserve">neteko futbolo programos, pagal kurią toliau dirba </w:t>
      </w:r>
      <w:r w:rsidR="006F41C8" w:rsidRPr="00210C15">
        <w:rPr>
          <w:szCs w:val="24"/>
          <w:lang w:eastAsia="lt-LT"/>
        </w:rPr>
        <w:t>VšĮ;</w:t>
      </w:r>
      <w:r w:rsidR="00F43052" w:rsidRPr="00210C15">
        <w:rPr>
          <w:szCs w:val="24"/>
          <w:lang w:eastAsia="lt-LT"/>
        </w:rPr>
        <w:t xml:space="preserve"> bet kaip alternatyva pradėta kultivuoti </w:t>
      </w:r>
      <w:r w:rsidR="006F41C8" w:rsidRPr="00210C15">
        <w:rPr>
          <w:szCs w:val="24"/>
          <w:lang w:eastAsia="lt-LT"/>
        </w:rPr>
        <w:t>kita komandinio sporto šaka – tinklinis</w:t>
      </w:r>
      <w:r w:rsidRPr="00210C15">
        <w:rPr>
          <w:szCs w:val="24"/>
          <w:lang w:eastAsia="lt-LT"/>
        </w:rPr>
        <w:t>. Rajono savivaldybėje dalyvavusių NVŠ programose (išskyrus tikslinį finansavimą) skaičius 2017 ir 2018 m. buvo didesnis nei 2016 m.</w:t>
      </w:r>
    </w:p>
    <w:p w:rsidR="00B07158" w:rsidRPr="00210C15" w:rsidRDefault="00B07158" w:rsidP="00B07158">
      <w:pPr>
        <w:spacing w:after="0" w:line="240" w:lineRule="auto"/>
        <w:ind w:firstLine="851"/>
        <w:jc w:val="both"/>
        <w:rPr>
          <w:rFonts w:eastAsia="Times New Roman" w:cs="Times New Roman"/>
          <w:szCs w:val="24"/>
          <w:lang w:eastAsia="lt-LT"/>
        </w:rPr>
      </w:pPr>
      <w:r w:rsidRPr="00210C15">
        <w:rPr>
          <w:rFonts w:eastAsia="Times New Roman" w:cs="Times New Roman"/>
          <w:szCs w:val="24"/>
          <w:lang w:eastAsia="lt-LT"/>
        </w:rPr>
        <w:t xml:space="preserve">Kėdainių kalbų mokykla – vienintelė tokios krypties NVŠ mokykla šalyje. Kalbų mokykloje, kaip akredituotame kalbos centre, nuo 2017 m. nustatomas </w:t>
      </w:r>
      <w:r w:rsidR="0037273F" w:rsidRPr="00210C15">
        <w:rPr>
          <w:rFonts w:eastAsia="Times New Roman" w:cs="Times New Roman"/>
          <w:szCs w:val="24"/>
          <w:lang w:eastAsia="lt-LT"/>
        </w:rPr>
        <w:t>užsienio</w:t>
      </w:r>
      <w:r w:rsidRPr="00210C15">
        <w:rPr>
          <w:rFonts w:eastAsia="Times New Roman" w:cs="Times New Roman"/>
          <w:szCs w:val="24"/>
          <w:lang w:eastAsia="lt-LT"/>
        </w:rPr>
        <w:t xml:space="preserve"> kalb</w:t>
      </w:r>
      <w:r w:rsidR="0037273F" w:rsidRPr="00210C15">
        <w:rPr>
          <w:rFonts w:eastAsia="Times New Roman" w:cs="Times New Roman"/>
          <w:szCs w:val="24"/>
          <w:lang w:eastAsia="lt-LT"/>
        </w:rPr>
        <w:t>ų</w:t>
      </w:r>
      <w:r w:rsidRPr="00210C15">
        <w:rPr>
          <w:rFonts w:eastAsia="Times New Roman" w:cs="Times New Roman"/>
          <w:szCs w:val="24"/>
          <w:lang w:eastAsia="lt-LT"/>
        </w:rPr>
        <w:t xml:space="preserve"> mokėjimo lygis pagal Bendruosius kalbų metmenis asmenims</w:t>
      </w:r>
      <w:r w:rsidR="006F4FBC" w:rsidRPr="00210C15">
        <w:rPr>
          <w:rFonts w:eastAsia="Times New Roman" w:cs="Times New Roman"/>
          <w:szCs w:val="24"/>
          <w:lang w:eastAsia="lt-LT"/>
        </w:rPr>
        <w:t xml:space="preserve"> – </w:t>
      </w:r>
      <w:r w:rsidRPr="00210C15">
        <w:rPr>
          <w:rFonts w:eastAsia="Times New Roman" w:cs="Times New Roman"/>
          <w:szCs w:val="24"/>
          <w:lang w:eastAsia="lt-LT"/>
        </w:rPr>
        <w:t>pretendentams į valstybės tarnautojo pareigas.</w:t>
      </w:r>
      <w:r w:rsidR="0037273F" w:rsidRPr="00210C15">
        <w:rPr>
          <w:rFonts w:eastAsia="Times New Roman" w:cs="Times New Roman"/>
          <w:szCs w:val="24"/>
          <w:lang w:eastAsia="lt-LT"/>
        </w:rPr>
        <w:t xml:space="preserve"> 2018 m. mokykla tapo jaunimo savanorius priimančiu akredituotu centru.</w:t>
      </w:r>
    </w:p>
    <w:p w:rsidR="00401AE0" w:rsidRPr="00210C15" w:rsidRDefault="00401AE0" w:rsidP="00B07158">
      <w:pPr>
        <w:spacing w:after="0" w:line="240" w:lineRule="auto"/>
        <w:ind w:firstLine="851"/>
        <w:jc w:val="both"/>
        <w:rPr>
          <w:rFonts w:eastAsia="Times New Roman" w:cs="Times New Roman"/>
          <w:szCs w:val="24"/>
          <w:lang w:eastAsia="lt-LT"/>
        </w:rPr>
      </w:pPr>
      <w:r w:rsidRPr="00210C15">
        <w:rPr>
          <w:rFonts w:eastAsia="Times New Roman" w:cs="Times New Roman"/>
          <w:szCs w:val="24"/>
          <w:lang w:eastAsia="lt-LT"/>
        </w:rPr>
        <w:t>Kėdainių dailės mokykla 2016, 2017 m. sėkmingai dalyvavo šalies edukaciniame dailės projekte „Mano Lietuva“</w:t>
      </w:r>
      <w:r w:rsidR="003A0F22" w:rsidRPr="00210C15">
        <w:rPr>
          <w:rFonts w:eastAsia="Times New Roman" w:cs="Times New Roman"/>
          <w:szCs w:val="24"/>
          <w:lang w:eastAsia="lt-LT"/>
        </w:rPr>
        <w:t>. N</w:t>
      </w:r>
      <w:r w:rsidRPr="00210C15">
        <w:rPr>
          <w:rFonts w:eastAsia="Times New Roman" w:cs="Times New Roman"/>
          <w:szCs w:val="24"/>
          <w:lang w:eastAsia="lt-LT"/>
        </w:rPr>
        <w:t xml:space="preserve">uo 2015 m. </w:t>
      </w:r>
      <w:r w:rsidR="003A0F22" w:rsidRPr="00210C15">
        <w:rPr>
          <w:rFonts w:eastAsia="Times New Roman" w:cs="Times New Roman"/>
          <w:szCs w:val="24"/>
          <w:lang w:eastAsia="lt-LT"/>
        </w:rPr>
        <w:t xml:space="preserve">mokyklos </w:t>
      </w:r>
      <w:r w:rsidRPr="00210C15">
        <w:rPr>
          <w:rFonts w:eastAsia="Times New Roman" w:cs="Times New Roman"/>
          <w:szCs w:val="24"/>
          <w:lang w:eastAsia="lt-LT"/>
        </w:rPr>
        <w:t>mokini</w:t>
      </w:r>
      <w:r w:rsidR="003A0F22" w:rsidRPr="00210C15">
        <w:rPr>
          <w:rFonts w:eastAsia="Times New Roman" w:cs="Times New Roman"/>
          <w:szCs w:val="24"/>
          <w:lang w:eastAsia="lt-LT"/>
        </w:rPr>
        <w:t xml:space="preserve">ai kuria naujametinius atvirukus, vienas darbas išrenkamas kaip geriausias, jo pagrindu išspausdinamas rajono savivaldybės šventinis sveikinimo atvirukas. </w:t>
      </w:r>
      <w:r w:rsidR="00DD4145" w:rsidRPr="00210C15">
        <w:rPr>
          <w:rFonts w:eastAsia="Times New Roman" w:cs="Times New Roman"/>
          <w:szCs w:val="24"/>
          <w:lang w:eastAsia="lt-LT"/>
        </w:rPr>
        <w:t xml:space="preserve">Dailės mokykloje </w:t>
      </w:r>
      <w:r w:rsidR="003A0F22" w:rsidRPr="00210C15">
        <w:rPr>
          <w:rFonts w:eastAsia="Times New Roman" w:cs="Times New Roman"/>
          <w:szCs w:val="24"/>
          <w:lang w:eastAsia="lt-LT"/>
        </w:rPr>
        <w:t>2018 m. pradėta įgyvendinti nauja NVŠ programa – kompiuterinė grafika ir akademinis piešimas.</w:t>
      </w:r>
    </w:p>
    <w:p w:rsidR="00B07158" w:rsidRPr="00210C15" w:rsidRDefault="00B07158" w:rsidP="00B07158">
      <w:pPr>
        <w:spacing w:after="0" w:line="240" w:lineRule="auto"/>
        <w:ind w:firstLine="851"/>
        <w:jc w:val="both"/>
        <w:rPr>
          <w:rFonts w:eastAsia="Times New Roman" w:cs="Times New Roman"/>
          <w:szCs w:val="24"/>
          <w:lang w:eastAsia="lt-LT"/>
        </w:rPr>
      </w:pPr>
      <w:r w:rsidRPr="00210C15">
        <w:rPr>
          <w:rFonts w:eastAsia="Times New Roman" w:cs="Times New Roman"/>
          <w:szCs w:val="24"/>
          <w:lang w:eastAsia="lt-LT"/>
        </w:rPr>
        <w:t>Rajono savivaldybės teritorijoje veikia Lietuvos Broniaus Oškinio vaikų aviacijos mokykla.</w:t>
      </w:r>
    </w:p>
    <w:p w:rsidR="00B07158" w:rsidRDefault="00B07158" w:rsidP="00B07158">
      <w:pPr>
        <w:spacing w:after="0" w:line="240" w:lineRule="auto"/>
        <w:ind w:firstLine="851"/>
        <w:jc w:val="both"/>
        <w:rPr>
          <w:rFonts w:eastAsia="Times New Roman"/>
          <w:szCs w:val="24"/>
        </w:rPr>
      </w:pPr>
      <w:r w:rsidRPr="00210C15">
        <w:rPr>
          <w:rFonts w:eastAsia="Times New Roman" w:cs="Times New Roman"/>
          <w:szCs w:val="24"/>
          <w:lang w:eastAsia="lt-LT"/>
        </w:rPr>
        <w:t xml:space="preserve">Kėdainių šviesiosios gimnazijos Neformaliojo vaikų švietimo skyriuje veikia „Sėkmės ir lyderystės mokykla“, čia diegiama </w:t>
      </w:r>
      <w:r w:rsidRPr="00210C15">
        <w:rPr>
          <w:rFonts w:eastAsia="Times New Roman"/>
          <w:b/>
          <w:szCs w:val="24"/>
        </w:rPr>
        <w:t>STEAM</w:t>
      </w:r>
      <w:r w:rsidRPr="00210C15">
        <w:rPr>
          <w:rFonts w:eastAsia="Times New Roman"/>
          <w:szCs w:val="24"/>
        </w:rPr>
        <w:t xml:space="preserve"> (gamtos, technologijų, inžinerijos, matematikos, dizaino mokslai) </w:t>
      </w:r>
      <w:r w:rsidRPr="00210C15">
        <w:rPr>
          <w:rFonts w:eastAsia="Times New Roman"/>
          <w:b/>
          <w:szCs w:val="24"/>
        </w:rPr>
        <w:t>programa</w:t>
      </w:r>
      <w:r w:rsidRPr="00210C15">
        <w:rPr>
          <w:rFonts w:eastAsia="Times New Roman"/>
          <w:szCs w:val="24"/>
        </w:rPr>
        <w:t xml:space="preserve">. Ja </w:t>
      </w:r>
      <w:r w:rsidRPr="00210C15">
        <w:rPr>
          <w:rFonts w:eastAsia="Times New Roman" w:cs="Times New Roman"/>
          <w:szCs w:val="24"/>
          <w:lang w:eastAsia="lt-LT"/>
        </w:rPr>
        <w:t xml:space="preserve">rajono savivaldybės </w:t>
      </w:r>
      <w:r w:rsidRPr="006A7D2F">
        <w:rPr>
          <w:rFonts w:eastAsia="Times New Roman" w:cs="Times New Roman"/>
          <w:szCs w:val="24"/>
          <w:lang w:eastAsia="lt-LT"/>
        </w:rPr>
        <w:t>mokiniams</w:t>
      </w:r>
      <w:r w:rsidRPr="006A7D2F">
        <w:rPr>
          <w:rFonts w:eastAsia="Times New Roman"/>
          <w:szCs w:val="24"/>
        </w:rPr>
        <w:t xml:space="preserve"> kuriamas ypatingas ugdymo turinys, siejant įvairių mokslų žinias ir jas praktiškai taikant, pasitelkiant išorines edukacines erdves, socialinius partnerius, integruojant neformalųjį švietimą. </w:t>
      </w:r>
      <w:r>
        <w:rPr>
          <w:rFonts w:eastAsia="Times New Roman"/>
          <w:szCs w:val="24"/>
        </w:rPr>
        <w:t>R</w:t>
      </w:r>
      <w:r w:rsidRPr="006A7D2F">
        <w:rPr>
          <w:rFonts w:eastAsia="Times New Roman"/>
          <w:szCs w:val="24"/>
        </w:rPr>
        <w:t>yškios gijos Šviesiojoje gimnazijoje – b</w:t>
      </w:r>
      <w:r w:rsidRPr="006A7D2F">
        <w:rPr>
          <w:szCs w:val="24"/>
        </w:rPr>
        <w:t>endradarbiaujama su aukštųjų mokyklų, mokslo ir verslo institucijomis</w:t>
      </w:r>
      <w:r>
        <w:rPr>
          <w:szCs w:val="24"/>
        </w:rPr>
        <w:t>,</w:t>
      </w:r>
      <w:r w:rsidRPr="006A7D2F">
        <w:rPr>
          <w:szCs w:val="24"/>
        </w:rPr>
        <w:t xml:space="preserve"> įgyvendinant bendras </w:t>
      </w:r>
      <w:r w:rsidRPr="006A7D2F">
        <w:rPr>
          <w:szCs w:val="24"/>
        </w:rPr>
        <w:lastRenderedPageBreak/>
        <w:t>STEAM neformaliojo švietimo veiklas; mokini</w:t>
      </w:r>
      <w:r>
        <w:rPr>
          <w:szCs w:val="24"/>
        </w:rPr>
        <w:t>ai</w:t>
      </w:r>
      <w:r w:rsidRPr="006A7D2F">
        <w:rPr>
          <w:szCs w:val="24"/>
        </w:rPr>
        <w:t xml:space="preserve"> praktiką atlieka mokslo centruose, </w:t>
      </w:r>
      <w:r>
        <w:rPr>
          <w:szCs w:val="24"/>
        </w:rPr>
        <w:t xml:space="preserve">aukštosiose mokyklose. </w:t>
      </w:r>
      <w:r w:rsidRPr="006A7D2F">
        <w:rPr>
          <w:rFonts w:eastAsia="Times New Roman"/>
          <w:szCs w:val="24"/>
        </w:rPr>
        <w:t xml:space="preserve">Viena galimų programos krypčių – sieti su regiono </w:t>
      </w:r>
      <w:r>
        <w:rPr>
          <w:rFonts w:eastAsia="Times New Roman"/>
          <w:szCs w:val="24"/>
        </w:rPr>
        <w:t xml:space="preserve">verslo, </w:t>
      </w:r>
      <w:r w:rsidRPr="006A7D2F">
        <w:rPr>
          <w:rFonts w:eastAsia="Times New Roman"/>
          <w:szCs w:val="24"/>
        </w:rPr>
        <w:t>pramonės ir mokslo specifika.</w:t>
      </w:r>
    </w:p>
    <w:p w:rsidR="0037273F" w:rsidRPr="00210C15" w:rsidRDefault="00B07158" w:rsidP="0037273F">
      <w:pPr>
        <w:spacing w:after="0" w:line="240" w:lineRule="auto"/>
        <w:ind w:firstLine="851"/>
        <w:jc w:val="both"/>
        <w:rPr>
          <w:rFonts w:eastAsia="Times New Roman" w:cs="Times New Roman"/>
          <w:szCs w:val="24"/>
          <w:lang w:eastAsia="lt-LT"/>
        </w:rPr>
      </w:pPr>
      <w:r>
        <w:rPr>
          <w:rFonts w:eastAsia="Times New Roman" w:cs="Times New Roman"/>
          <w:szCs w:val="24"/>
          <w:lang w:eastAsia="lt-LT"/>
        </w:rPr>
        <w:t xml:space="preserve">Šalies mastu stringa Švietimo įstaigų modernizavimo programa (nuo 2014 m. joje dalyvauja ir Kėdainių rajono savivaldybė), ypač neramina dėl </w:t>
      </w:r>
      <w:r w:rsidRPr="00210C15">
        <w:rPr>
          <w:rFonts w:eastAsia="Times New Roman" w:cs="Times New Roman"/>
          <w:szCs w:val="24"/>
          <w:lang w:eastAsia="lt-LT"/>
        </w:rPr>
        <w:t>nutrūkusio finansavimo sustojęs Kėdainių šviesiosios gimnazijos pastato modernizavimas (pradėti darbai).</w:t>
      </w:r>
    </w:p>
    <w:p w:rsidR="00984B91" w:rsidRPr="00210C15" w:rsidRDefault="00984B91" w:rsidP="0037273F">
      <w:pPr>
        <w:spacing w:after="0" w:line="240" w:lineRule="auto"/>
        <w:ind w:firstLine="851"/>
        <w:jc w:val="both"/>
        <w:rPr>
          <w:rFonts w:eastAsia="Times New Roman" w:cs="Times New Roman"/>
          <w:szCs w:val="24"/>
          <w:lang w:eastAsia="lt-LT"/>
        </w:rPr>
      </w:pPr>
      <w:r w:rsidRPr="00210C15">
        <w:rPr>
          <w:rFonts w:eastAsia="Times New Roman" w:cs="Times New Roman"/>
          <w:szCs w:val="24"/>
          <w:lang w:eastAsia="lt-LT"/>
        </w:rPr>
        <w:t xml:space="preserve">Yra parengtas </w:t>
      </w:r>
      <w:r w:rsidR="00067581" w:rsidRPr="00210C15">
        <w:rPr>
          <w:rFonts w:eastAsia="Times New Roman" w:cs="Times New Roman"/>
          <w:szCs w:val="24"/>
          <w:lang w:eastAsia="lt-LT"/>
        </w:rPr>
        <w:t xml:space="preserve">Kėdainių rajono savivaldybės </w:t>
      </w:r>
      <w:r w:rsidRPr="00210C15">
        <w:rPr>
          <w:rFonts w:eastAsia="Times New Roman" w:cs="Times New Roman"/>
          <w:szCs w:val="24"/>
          <w:lang w:eastAsia="lt-LT"/>
        </w:rPr>
        <w:t>neformaliojo švietimo</w:t>
      </w:r>
      <w:r w:rsidR="00067581" w:rsidRPr="00210C15">
        <w:rPr>
          <w:rFonts w:eastAsia="Times New Roman" w:cs="Times New Roman"/>
          <w:szCs w:val="24"/>
          <w:lang w:eastAsia="lt-LT"/>
        </w:rPr>
        <w:t xml:space="preserve"> mokyklų veiklos kokybės</w:t>
      </w:r>
      <w:r w:rsidRPr="00210C15">
        <w:rPr>
          <w:rFonts w:eastAsia="Times New Roman" w:cs="Times New Roman"/>
          <w:szCs w:val="24"/>
          <w:lang w:eastAsia="lt-LT"/>
        </w:rPr>
        <w:t xml:space="preserve"> išorės vertinimo tvarkos aprašas</w:t>
      </w:r>
      <w:r w:rsidR="00067581" w:rsidRPr="00210C15">
        <w:rPr>
          <w:rFonts w:eastAsia="Times New Roman" w:cs="Times New Roman"/>
          <w:szCs w:val="24"/>
          <w:lang w:eastAsia="lt-LT"/>
        </w:rPr>
        <w:t xml:space="preserve"> (patvirtintas rajono savivaldybės tarybos 2013 m. gruodžio 13 d. sprendimu Nr. TS-327)</w:t>
      </w:r>
      <w:r w:rsidRPr="00210C15">
        <w:rPr>
          <w:rFonts w:eastAsia="Times New Roman" w:cs="Times New Roman"/>
          <w:szCs w:val="24"/>
          <w:lang w:eastAsia="lt-LT"/>
        </w:rPr>
        <w:t xml:space="preserve">, tačiau išorės veiklos vertinimas </w:t>
      </w:r>
      <w:r w:rsidR="00067581" w:rsidRPr="00210C15">
        <w:rPr>
          <w:rFonts w:eastAsia="Times New Roman" w:cs="Times New Roman"/>
          <w:szCs w:val="24"/>
          <w:lang w:eastAsia="lt-LT"/>
        </w:rPr>
        <w:t xml:space="preserve">NVŠ mokyklose </w:t>
      </w:r>
      <w:r w:rsidRPr="00210C15">
        <w:rPr>
          <w:rFonts w:eastAsia="Times New Roman" w:cs="Times New Roman"/>
          <w:szCs w:val="24"/>
          <w:lang w:eastAsia="lt-LT"/>
        </w:rPr>
        <w:t>nebuvo atliekamas, nes šalies mastu neparengt</w:t>
      </w:r>
      <w:r w:rsidR="006D1E51" w:rsidRPr="00210C15">
        <w:rPr>
          <w:rFonts w:eastAsia="Times New Roman" w:cs="Times New Roman"/>
          <w:szCs w:val="24"/>
          <w:lang w:eastAsia="lt-LT"/>
        </w:rPr>
        <w:t xml:space="preserve">os rekomendacijos, </w:t>
      </w:r>
      <w:r w:rsidRPr="00210C15">
        <w:rPr>
          <w:rFonts w:eastAsia="Times New Roman" w:cs="Times New Roman"/>
          <w:szCs w:val="24"/>
          <w:lang w:eastAsia="lt-LT"/>
        </w:rPr>
        <w:t xml:space="preserve">vertintojai, </w:t>
      </w:r>
      <w:r w:rsidR="00154857" w:rsidRPr="00210C15">
        <w:rPr>
          <w:rFonts w:eastAsia="Times New Roman" w:cs="Times New Roman"/>
          <w:szCs w:val="24"/>
          <w:lang w:eastAsia="lt-LT"/>
        </w:rPr>
        <w:t xml:space="preserve">esama </w:t>
      </w:r>
      <w:r w:rsidRPr="00210C15">
        <w:rPr>
          <w:rFonts w:eastAsia="Times New Roman" w:cs="Times New Roman"/>
          <w:szCs w:val="24"/>
          <w:lang w:eastAsia="lt-LT"/>
        </w:rPr>
        <w:t>apmokėjimo</w:t>
      </w:r>
      <w:r w:rsidR="00154857" w:rsidRPr="00210C15">
        <w:rPr>
          <w:rFonts w:eastAsia="Times New Roman" w:cs="Times New Roman"/>
          <w:szCs w:val="24"/>
          <w:lang w:eastAsia="lt-LT"/>
        </w:rPr>
        <w:t xml:space="preserve"> už darbą sistema nėra solidi – kviestiniam vertintojui neapsimoka net kelionė.</w:t>
      </w:r>
      <w:r w:rsidRPr="00210C15">
        <w:rPr>
          <w:rFonts w:eastAsia="Times New Roman" w:cs="Times New Roman"/>
          <w:szCs w:val="24"/>
          <w:lang w:eastAsia="lt-LT"/>
        </w:rPr>
        <w:t xml:space="preserve"> </w:t>
      </w:r>
      <w:r w:rsidR="00067581" w:rsidRPr="00210C15">
        <w:rPr>
          <w:rFonts w:eastAsia="Times New Roman" w:cs="Times New Roman"/>
          <w:szCs w:val="24"/>
          <w:lang w:eastAsia="lt-LT"/>
        </w:rPr>
        <w:t>Nef</w:t>
      </w:r>
      <w:r w:rsidRPr="00210C15">
        <w:rPr>
          <w:rFonts w:eastAsia="Times New Roman" w:cs="Times New Roman"/>
          <w:szCs w:val="24"/>
          <w:lang w:eastAsia="lt-LT"/>
        </w:rPr>
        <w:t>ormaliojo švietimo kokybės priežiūrą stengiamasi užtikrinti kitomis priemonėmis.</w:t>
      </w:r>
    </w:p>
    <w:p w:rsidR="00154857" w:rsidRPr="00210C15" w:rsidRDefault="00154857" w:rsidP="0037273F">
      <w:pPr>
        <w:spacing w:after="0" w:line="240" w:lineRule="auto"/>
        <w:ind w:firstLine="851"/>
        <w:jc w:val="both"/>
        <w:rPr>
          <w:rFonts w:eastAsia="Times New Roman" w:cs="Times New Roman"/>
          <w:szCs w:val="24"/>
          <w:lang w:eastAsia="lt-LT"/>
        </w:rPr>
      </w:pPr>
      <w:r w:rsidRPr="00210C15">
        <w:rPr>
          <w:rFonts w:eastAsia="Times New Roman" w:cs="Times New Roman"/>
          <w:szCs w:val="24"/>
          <w:lang w:eastAsia="lt-LT"/>
        </w:rPr>
        <w:t xml:space="preserve">Šalies mastu prastokas dokumentas apie neformaliojo švietimo programų reikalavimus ir kriterijus, todėl rajono savivaldybėje NVŠ mokyklos susitaria dėl papildomų programos (tiek ilgalaikės, tiek trumpalaikės) kriterijų arba specialiai atkreipiamas </w:t>
      </w:r>
      <w:r w:rsidR="00DF0FF9" w:rsidRPr="00210C15">
        <w:rPr>
          <w:rFonts w:eastAsia="Times New Roman" w:cs="Times New Roman"/>
          <w:szCs w:val="24"/>
          <w:lang w:eastAsia="lt-LT"/>
        </w:rPr>
        <w:t xml:space="preserve">NVŠ teikėjų </w:t>
      </w:r>
      <w:r w:rsidRPr="00210C15">
        <w:rPr>
          <w:rFonts w:eastAsia="Times New Roman" w:cs="Times New Roman"/>
          <w:szCs w:val="24"/>
          <w:lang w:eastAsia="lt-LT"/>
        </w:rPr>
        <w:t>dėmesys dėl papildomų reikalavimų programoms.</w:t>
      </w:r>
    </w:p>
    <w:p w:rsidR="0037273F" w:rsidRPr="00210C15" w:rsidRDefault="0037273F" w:rsidP="0037273F">
      <w:pPr>
        <w:spacing w:after="0"/>
        <w:ind w:firstLine="851"/>
        <w:jc w:val="both"/>
        <w:rPr>
          <w:rFonts w:cs="Times New Roman"/>
        </w:rPr>
      </w:pPr>
      <w:r w:rsidRPr="00210C15">
        <w:rPr>
          <w:rFonts w:eastAsia="Times New Roman" w:cs="Times New Roman"/>
          <w:szCs w:val="24"/>
          <w:lang w:eastAsia="lt-LT"/>
        </w:rPr>
        <w:t xml:space="preserve">Rajono savivaldybės neformaliojo ugdymo įstaigų vadovus, jų pavaduotojus, fizinius ir juridinius asmenis, besirūpinančius neformaliuoju ugdymu, vienija Kėdainių rajono neformaliojo ugdymo asociacija (įkurta 2014 m.). </w:t>
      </w:r>
      <w:r w:rsidRPr="00210C15">
        <w:rPr>
          <w:rFonts w:cs="Times New Roman"/>
        </w:rPr>
        <w:t>Kėdainių kalbų mokykla, šios asociacijos narė, atsižvelgusi į anglų kalbos mokymosi poreikį, nuo 2017 m. sudaro galimybes kitiems asociacijoms nariams tobulinti anglų kalbos mokėjimo kompetenciją, mokykla parengė ir vykdo neformaliojo švietimo programas „Anglų kalba (A1, A2, B1 lygiai)“ pagal sudarytas bendradarbiavimo sutartis ar papildomus susitarimus.</w:t>
      </w:r>
    </w:p>
    <w:p w:rsidR="00B07158" w:rsidRPr="00210C15" w:rsidRDefault="00B07158" w:rsidP="0037273F">
      <w:pPr>
        <w:spacing w:after="0" w:line="240" w:lineRule="auto"/>
        <w:ind w:firstLine="851"/>
        <w:jc w:val="both"/>
        <w:rPr>
          <w:rFonts w:eastAsia="Times New Roman" w:cs="Times New Roman"/>
          <w:szCs w:val="24"/>
          <w:lang w:eastAsia="lt-LT"/>
        </w:rPr>
      </w:pPr>
    </w:p>
    <w:p w:rsidR="00B07158" w:rsidRDefault="00B07158" w:rsidP="00B07158">
      <w:pPr>
        <w:spacing w:after="0" w:line="240" w:lineRule="auto"/>
        <w:ind w:firstLine="851"/>
        <w:jc w:val="both"/>
        <w:rPr>
          <w:rFonts w:eastAsia="Times New Roman" w:cs="Times New Roman"/>
          <w:szCs w:val="24"/>
          <w:lang w:eastAsia="lt-LT"/>
        </w:rPr>
      </w:pPr>
      <w:r w:rsidRPr="00210C15">
        <w:rPr>
          <w:rFonts w:eastAsia="Times New Roman" w:cs="Times New Roman"/>
          <w:szCs w:val="24"/>
          <w:lang w:eastAsia="lt-LT"/>
        </w:rPr>
        <w:t xml:space="preserve">Mokinių, lankančių </w:t>
      </w:r>
      <w:r w:rsidRPr="00210C15">
        <w:rPr>
          <w:rFonts w:eastAsia="Times New Roman" w:cs="Times New Roman"/>
          <w:b/>
          <w:szCs w:val="24"/>
          <w:lang w:eastAsia="lt-LT"/>
        </w:rPr>
        <w:t>būrelius bendrojo ugdymo mokyklose</w:t>
      </w:r>
      <w:r w:rsidRPr="00210C15">
        <w:rPr>
          <w:rFonts w:eastAsia="Times New Roman" w:cs="Times New Roman"/>
          <w:szCs w:val="24"/>
          <w:lang w:eastAsia="lt-LT"/>
        </w:rPr>
        <w:t xml:space="preserve">, nuosekliai didėja: </w:t>
      </w:r>
      <w:bookmarkStart w:id="0" w:name="_Hlk534701732"/>
      <w:r w:rsidRPr="00210C15">
        <w:rPr>
          <w:rFonts w:eastAsia="Times New Roman" w:cs="Times New Roman"/>
          <w:szCs w:val="24"/>
          <w:lang w:eastAsia="lt-LT"/>
        </w:rPr>
        <w:t xml:space="preserve">ŠVIS‘o duomenimis, tokių 2018 m. rudenį buvo 61,34 proc. </w:t>
      </w:r>
      <w:bookmarkEnd w:id="0"/>
      <w:r w:rsidRPr="00210C15">
        <w:rPr>
          <w:rFonts w:eastAsia="Times New Roman" w:cs="Times New Roman"/>
          <w:szCs w:val="24"/>
          <w:lang w:eastAsia="lt-LT"/>
        </w:rPr>
        <w:t>(Kėdainių rajono savivaldybės administracijos Švietimo ir kultūros skyriaus duomenimis – 64,43 proc.)</w:t>
      </w:r>
      <w:r w:rsidR="008C0751" w:rsidRPr="00210C15">
        <w:rPr>
          <w:rFonts w:eastAsia="Times New Roman" w:cs="Times New Roman"/>
          <w:szCs w:val="24"/>
          <w:lang w:eastAsia="lt-LT"/>
        </w:rPr>
        <w:t xml:space="preserve"> </w:t>
      </w:r>
      <w:r w:rsidR="008C0751" w:rsidRPr="00210C15">
        <w:rPr>
          <w:szCs w:val="24"/>
        </w:rPr>
        <w:t>(2017 m. – 3677 mokiniai, 65 proc.)</w:t>
      </w:r>
      <w:r w:rsidRPr="00210C15">
        <w:rPr>
          <w:rFonts w:eastAsia="Times New Roman" w:cs="Times New Roman"/>
          <w:szCs w:val="24"/>
          <w:lang w:eastAsia="lt-LT"/>
        </w:rPr>
        <w:t xml:space="preserve">, tačiau 20,33 proc. mokinių nedalyvauja jokiuose mokyklų būreliuose, NVŠ ar FŠPU programose (2017 m. tokių buvo 21,4 proc.). </w:t>
      </w:r>
      <w:r w:rsidR="008C0751" w:rsidRPr="00210C15">
        <w:rPr>
          <w:szCs w:val="24"/>
        </w:rPr>
        <w:t xml:space="preserve">Dar 1153 mokiniai 2018 m. (2017 m. – 1302 mokiniai) dalyvavo kitų institucijų (kultūros centrų, klubų ir pan., išskyrus neformaliojo vaikų švietimo mokyklas) būreliuose. </w:t>
      </w:r>
      <w:r w:rsidRPr="00210C15">
        <w:rPr>
          <w:rFonts w:eastAsia="Times New Roman" w:cs="Times New Roman"/>
          <w:szCs w:val="24"/>
          <w:lang w:eastAsia="lt-LT"/>
        </w:rPr>
        <w:t xml:space="preserve">Ne vienus metus gausiausia bendrojo ugdymo mokyklose yra sveikos gyvensenos (sporto, kultūros, sveikatos ugdymo ir pan.) ir turizmo būrelių, 2018 m. rudenį tokių krypčių </w:t>
      </w:r>
      <w:r>
        <w:rPr>
          <w:rFonts w:eastAsia="Times New Roman" w:cs="Times New Roman"/>
          <w:szCs w:val="24"/>
          <w:lang w:eastAsia="lt-LT"/>
        </w:rPr>
        <w:t>buvo 91 būrelis (141 val.; dalyvavo 26,58 proc. visų mokinių), muzikos – 35 (62 val.; 12,31 proc. visų mokinių), choreografijos ir šokio – 26 (51 val.; 7,79 proc. visų mokinių), dailės – 25 (31 val.; 6,86 proc. visų mokinių), technologijų – 25 (37 val.; 5,87 proc. visų mokinių)</w:t>
      </w:r>
      <w:r>
        <w:rPr>
          <w:rStyle w:val="FootnoteReference"/>
          <w:rFonts w:eastAsia="Times New Roman" w:cs="Times New Roman"/>
          <w:szCs w:val="24"/>
          <w:lang w:eastAsia="lt-LT"/>
        </w:rPr>
        <w:footnoteReference w:id="1"/>
      </w:r>
      <w:r>
        <w:rPr>
          <w:rFonts w:eastAsia="Times New Roman" w:cs="Times New Roman"/>
          <w:szCs w:val="24"/>
          <w:lang w:eastAsia="lt-LT"/>
        </w:rPr>
        <w:t>. Palyginus su 2017 m. rudeniu, bendrojo ugdymo mokyklose 2018 m. pagausėjo literatūros (knygos, bibliotekos bičiulių...), etnokultūros, dailės ir gamtamokslinio ugdymo būrelių.</w:t>
      </w:r>
      <w:r w:rsidRPr="00412BC0">
        <w:rPr>
          <w:rFonts w:eastAsia="Times New Roman" w:cs="Times New Roman"/>
          <w:szCs w:val="24"/>
          <w:lang w:eastAsia="lt-LT"/>
        </w:rPr>
        <w:t xml:space="preserve"> </w:t>
      </w:r>
      <w:r>
        <w:rPr>
          <w:rFonts w:eastAsia="Times New Roman" w:cs="Times New Roman"/>
          <w:szCs w:val="24"/>
          <w:lang w:eastAsia="lt-LT"/>
        </w:rPr>
        <w:t>Tačiau bendrojo ugdymo mokyklose pagal Bendruosius ugdymo planus 2018 m. rudenį buvo nepanaudota 13,2 proc.</w:t>
      </w:r>
      <w:r w:rsidRPr="00AB732C">
        <w:rPr>
          <w:rFonts w:eastAsia="Times New Roman" w:cs="Times New Roman"/>
          <w:szCs w:val="24"/>
          <w:lang w:eastAsia="lt-LT"/>
        </w:rPr>
        <w:t xml:space="preserve"> </w:t>
      </w:r>
      <w:r>
        <w:rPr>
          <w:rFonts w:eastAsia="Times New Roman" w:cs="Times New Roman"/>
          <w:szCs w:val="24"/>
          <w:lang w:eastAsia="lt-LT"/>
        </w:rPr>
        <w:t>NVŠ valandų (2017 m. buvo nepanaudota 11,83 proc. valandų).</w:t>
      </w:r>
    </w:p>
    <w:p w:rsidR="00B07158" w:rsidRPr="00F65155" w:rsidRDefault="00B07158" w:rsidP="00B07158">
      <w:pPr>
        <w:spacing w:after="0" w:line="240" w:lineRule="auto"/>
        <w:ind w:firstLine="851"/>
        <w:jc w:val="both"/>
        <w:rPr>
          <w:szCs w:val="24"/>
          <w:lang w:eastAsia="lt-LT"/>
        </w:rPr>
      </w:pPr>
      <w:r w:rsidRPr="006A7D2F">
        <w:rPr>
          <w:rFonts w:eastAsia="Times New Roman" w:cs="Times New Roman"/>
          <w:szCs w:val="24"/>
          <w:lang w:eastAsia="lt-LT"/>
        </w:rPr>
        <w:t xml:space="preserve">Viena linkmių bendrojo ugdymo mokykloms kuriant ir teikiant užimtumo ir naujas paslaugas, formuojant turinį – bendradarbiauti su neformaliojo švietimo teikėjais, </w:t>
      </w:r>
      <w:r w:rsidRPr="006A7D2F">
        <w:rPr>
          <w:szCs w:val="24"/>
          <w:lang w:eastAsia="lt-LT"/>
        </w:rPr>
        <w:t>integruoti dalykus ir neformal</w:t>
      </w:r>
      <w:r>
        <w:rPr>
          <w:szCs w:val="24"/>
          <w:lang w:eastAsia="lt-LT"/>
        </w:rPr>
        <w:t xml:space="preserve">ųjį </w:t>
      </w:r>
      <w:r w:rsidRPr="006A7D2F">
        <w:rPr>
          <w:szCs w:val="24"/>
          <w:lang w:eastAsia="lt-LT"/>
        </w:rPr>
        <w:t>švietim</w:t>
      </w:r>
      <w:r>
        <w:rPr>
          <w:szCs w:val="24"/>
          <w:lang w:eastAsia="lt-LT"/>
        </w:rPr>
        <w:t>ą</w:t>
      </w:r>
      <w:r w:rsidRPr="006A7D2F">
        <w:rPr>
          <w:szCs w:val="24"/>
          <w:lang w:eastAsia="lt-LT"/>
        </w:rPr>
        <w:t xml:space="preserve"> (neformaliojo vaikų švietimo rezultatų dermė su formaliuoju švietimu). </w:t>
      </w:r>
      <w:r w:rsidRPr="00EB4758">
        <w:rPr>
          <w:szCs w:val="24"/>
          <w:lang w:eastAsia="lt-LT"/>
        </w:rPr>
        <w:t xml:space="preserve">Prevencinė </w:t>
      </w:r>
      <w:r w:rsidRPr="006A7D2F">
        <w:rPr>
          <w:szCs w:val="24"/>
          <w:lang w:eastAsia="lt-LT"/>
        </w:rPr>
        <w:t>veikla, sveikatos ugdymo programa mokyklose yra (turėtų būti) neatsiejama formaliojo ir neformaliojo švietimo dalis</w:t>
      </w:r>
      <w:r>
        <w:rPr>
          <w:szCs w:val="24"/>
          <w:lang w:eastAsia="lt-LT"/>
        </w:rPr>
        <w:t xml:space="preserve"> (</w:t>
      </w:r>
      <w:r w:rsidR="006F4FBC">
        <w:rPr>
          <w:szCs w:val="24"/>
          <w:lang w:eastAsia="lt-LT"/>
        </w:rPr>
        <w:t xml:space="preserve">siekinys – </w:t>
      </w:r>
      <w:r w:rsidRPr="003D5FD0">
        <w:rPr>
          <w:szCs w:val="24"/>
          <w:lang w:eastAsia="lt-LT"/>
        </w:rPr>
        <w:t xml:space="preserve">visas ugdymo turinys </w:t>
      </w:r>
      <w:r>
        <w:rPr>
          <w:szCs w:val="24"/>
          <w:lang w:eastAsia="lt-LT"/>
        </w:rPr>
        <w:t xml:space="preserve">mokykloje </w:t>
      </w:r>
      <w:r w:rsidRPr="003D5FD0">
        <w:rPr>
          <w:szCs w:val="24"/>
          <w:lang w:eastAsia="lt-LT"/>
        </w:rPr>
        <w:t>iš esmės būtų prevencinis)</w:t>
      </w:r>
      <w:r w:rsidRPr="006A7D2F">
        <w:rPr>
          <w:szCs w:val="24"/>
          <w:lang w:eastAsia="lt-LT"/>
        </w:rPr>
        <w:t>.</w:t>
      </w:r>
      <w:r w:rsidRPr="00F65155">
        <w:rPr>
          <w:szCs w:val="24"/>
          <w:lang w:eastAsia="lt-LT"/>
        </w:rPr>
        <w:t xml:space="preserve"> </w:t>
      </w:r>
      <w:r w:rsidRPr="00EB4758">
        <w:rPr>
          <w:szCs w:val="24"/>
          <w:lang w:eastAsia="lt-LT"/>
        </w:rPr>
        <w:t>Pritaikom</w:t>
      </w:r>
      <w:r>
        <w:rPr>
          <w:szCs w:val="24"/>
          <w:lang w:eastAsia="lt-LT"/>
        </w:rPr>
        <w:t>os</w:t>
      </w:r>
      <w:r w:rsidRPr="00EB4758">
        <w:rPr>
          <w:szCs w:val="24"/>
          <w:lang w:eastAsia="lt-LT"/>
        </w:rPr>
        <w:t xml:space="preserve"> ugdymo</w:t>
      </w:r>
      <w:r>
        <w:rPr>
          <w:szCs w:val="24"/>
          <w:lang w:eastAsia="lt-LT"/>
        </w:rPr>
        <w:t>(si)</w:t>
      </w:r>
      <w:r w:rsidRPr="00EB4758">
        <w:rPr>
          <w:szCs w:val="24"/>
          <w:lang w:eastAsia="lt-LT"/>
        </w:rPr>
        <w:t xml:space="preserve"> </w:t>
      </w:r>
      <w:r w:rsidRPr="00F65155">
        <w:rPr>
          <w:szCs w:val="24"/>
          <w:lang w:eastAsia="lt-LT"/>
        </w:rPr>
        <w:t xml:space="preserve">aplinkos („klasės be sienų“; ugdymąsi stimuliuojanti aplinka; mokinių indėlis kuriant aplinką; virtuali aplink), kuriose vyksta </w:t>
      </w:r>
      <w:r>
        <w:rPr>
          <w:szCs w:val="24"/>
          <w:lang w:eastAsia="lt-LT"/>
        </w:rPr>
        <w:t>tikslingas ugdymas, į</w:t>
      </w:r>
      <w:r w:rsidRPr="00F65155">
        <w:rPr>
          <w:szCs w:val="24"/>
          <w:lang w:eastAsia="lt-LT"/>
        </w:rPr>
        <w:t>vairesnės veiklos, mokomasi patiriant.</w:t>
      </w:r>
    </w:p>
    <w:p w:rsidR="00B07158" w:rsidRPr="00210C15" w:rsidRDefault="00B07158" w:rsidP="00B07158">
      <w:pPr>
        <w:spacing w:after="0" w:line="240" w:lineRule="auto"/>
        <w:ind w:firstLine="851"/>
        <w:jc w:val="both"/>
        <w:rPr>
          <w:szCs w:val="24"/>
          <w:lang w:eastAsia="lt-LT"/>
        </w:rPr>
      </w:pPr>
      <w:r w:rsidRPr="00F65155">
        <w:rPr>
          <w:szCs w:val="24"/>
          <w:lang w:eastAsia="lt-LT"/>
        </w:rPr>
        <w:lastRenderedPageBreak/>
        <w:t xml:space="preserve">Siekiant užtikrinti sklandžią ir kokybišką </w:t>
      </w:r>
      <w:r w:rsidRPr="003D5FD0">
        <w:rPr>
          <w:szCs w:val="24"/>
          <w:lang w:eastAsia="lt-LT"/>
        </w:rPr>
        <w:t xml:space="preserve">neformaliojo vaikų švietimo veiklos plėtrą, bendrojo ugdymo mokyklose vienas veiklos stebėsenos, </w:t>
      </w:r>
      <w:r w:rsidRPr="00210C15">
        <w:rPr>
          <w:szCs w:val="24"/>
          <w:lang w:eastAsia="lt-LT"/>
        </w:rPr>
        <w:t xml:space="preserve">analizės ir vertinimo aspektų (Bendrojo ugdymo </w:t>
      </w:r>
      <w:r w:rsidRPr="00210C15">
        <w:rPr>
          <w:b/>
          <w:szCs w:val="24"/>
          <w:lang w:eastAsia="lt-LT"/>
        </w:rPr>
        <w:t>mokyklos veiklos kokybės įsivertinimo metodika</w:t>
      </w:r>
      <w:r w:rsidRPr="00210C15">
        <w:rPr>
          <w:szCs w:val="24"/>
          <w:lang w:eastAsia="lt-LT"/>
        </w:rPr>
        <w:t>) – ir neformalusis švietimas, ir ugdymo(si) aplinkos.</w:t>
      </w:r>
    </w:p>
    <w:p w:rsidR="00D6113A" w:rsidRPr="00210C15" w:rsidRDefault="00B07158" w:rsidP="00B07158">
      <w:pPr>
        <w:spacing w:after="0" w:line="240" w:lineRule="auto"/>
        <w:ind w:firstLine="851"/>
        <w:jc w:val="both"/>
        <w:rPr>
          <w:szCs w:val="24"/>
        </w:rPr>
      </w:pPr>
      <w:r w:rsidRPr="00210C15">
        <w:rPr>
          <w:b/>
          <w:szCs w:val="24"/>
          <w:lang w:eastAsia="lt-LT"/>
        </w:rPr>
        <w:t>Visos dienos mokyklos modelis</w:t>
      </w:r>
      <w:r w:rsidRPr="00210C15">
        <w:rPr>
          <w:szCs w:val="24"/>
          <w:lang w:eastAsia="lt-LT"/>
        </w:rPr>
        <w:t xml:space="preserve">, kuris palaipsniui nuo 2018 m. rudens įgyvendinamas rajono savivaldybėje, siejamas su neformaliuoju švietimu, </w:t>
      </w:r>
      <w:r w:rsidR="00FC30BB" w:rsidRPr="00210C15">
        <w:rPr>
          <w:szCs w:val="24"/>
          <w:lang w:eastAsia="lt-LT"/>
        </w:rPr>
        <w:t xml:space="preserve">socialinėmis, kultūros ir visuomenės sveikatos priežiūros paslaugomis, </w:t>
      </w:r>
      <w:r w:rsidRPr="00210C15">
        <w:rPr>
          <w:szCs w:val="24"/>
          <w:lang w:eastAsia="lt-LT"/>
        </w:rPr>
        <w:t xml:space="preserve">kūrybine veikla (pvz., </w:t>
      </w:r>
      <w:r w:rsidRPr="00210C15">
        <w:rPr>
          <w:szCs w:val="24"/>
        </w:rPr>
        <w:t>VšĮ „Tolerancijos ir fizinės gerovės ugdymo centro“ programą „Emocinio ir fizinio lavinimo kūrybinės dirbtuvės“</w:t>
      </w:r>
      <w:r w:rsidR="006F4FBC" w:rsidRPr="00210C15">
        <w:rPr>
          <w:szCs w:val="24"/>
        </w:rPr>
        <w:t>, finansuojam</w:t>
      </w:r>
      <w:r w:rsidR="00CD42B2" w:rsidRPr="00210C15">
        <w:rPr>
          <w:szCs w:val="24"/>
        </w:rPr>
        <w:t>ą</w:t>
      </w:r>
      <w:r w:rsidR="006F4FBC" w:rsidRPr="00210C15">
        <w:rPr>
          <w:szCs w:val="24"/>
        </w:rPr>
        <w:t xml:space="preserve"> pagal ES tikslines lėšas, </w:t>
      </w:r>
      <w:r w:rsidRPr="00210C15">
        <w:rPr>
          <w:szCs w:val="24"/>
        </w:rPr>
        <w:t>pasiūlyta įgyvendinti Kėdainių Juozo Paukštelio progimnazijoje</w:t>
      </w:r>
      <w:r w:rsidR="00FC30BB" w:rsidRPr="00210C15">
        <w:rPr>
          <w:szCs w:val="24"/>
        </w:rPr>
        <w:t xml:space="preserve">; 2018–2019 m. vykdomame </w:t>
      </w:r>
      <w:r w:rsidR="00297E7B" w:rsidRPr="00210C15">
        <w:rPr>
          <w:szCs w:val="24"/>
        </w:rPr>
        <w:t>V</w:t>
      </w:r>
      <w:r w:rsidR="00FC30BB" w:rsidRPr="00210C15">
        <w:rPr>
          <w:szCs w:val="24"/>
        </w:rPr>
        <w:t>isos dienos mokyklos išbandyme kaip pilotinė mokykla dalyvauja Kėdainių Juozo Paukštelio progimnazija).</w:t>
      </w:r>
    </w:p>
    <w:p w:rsidR="00C13A9E" w:rsidRPr="00210C15" w:rsidRDefault="00297E7B" w:rsidP="00B07158">
      <w:pPr>
        <w:spacing w:after="0" w:line="240" w:lineRule="auto"/>
        <w:ind w:firstLine="851"/>
        <w:jc w:val="both"/>
        <w:rPr>
          <w:szCs w:val="24"/>
        </w:rPr>
      </w:pPr>
      <w:r w:rsidRPr="00210C15">
        <w:rPr>
          <w:szCs w:val="24"/>
        </w:rPr>
        <w:t>Beje, t</w:t>
      </w:r>
      <w:r w:rsidR="00FC30BB" w:rsidRPr="00210C15">
        <w:rPr>
          <w:szCs w:val="24"/>
        </w:rPr>
        <w:t xml:space="preserve">varkant rajono savivaldybės mokyklų tinklą, </w:t>
      </w:r>
      <w:r w:rsidR="000A72A2" w:rsidRPr="00210C15">
        <w:rPr>
          <w:szCs w:val="24"/>
        </w:rPr>
        <w:t xml:space="preserve">mokyklose </w:t>
      </w:r>
      <w:r w:rsidR="00FC30BB" w:rsidRPr="00210C15">
        <w:rPr>
          <w:szCs w:val="24"/>
        </w:rPr>
        <w:t xml:space="preserve">reikės spręsti papildomų ūkio lėšų poreikius, </w:t>
      </w:r>
      <w:r w:rsidR="004A4686" w:rsidRPr="00210C15">
        <w:rPr>
          <w:szCs w:val="24"/>
        </w:rPr>
        <w:t>tarpinstitucinio bendradarbiavimo kryptis, galimus saitus su Kultūros pas</w:t>
      </w:r>
      <w:r w:rsidR="008B0791" w:rsidRPr="00210C15">
        <w:rPr>
          <w:szCs w:val="24"/>
        </w:rPr>
        <w:t>u</w:t>
      </w:r>
      <w:r w:rsidRPr="00210C15">
        <w:rPr>
          <w:szCs w:val="24"/>
        </w:rPr>
        <w:t xml:space="preserve">, numatyti, </w:t>
      </w:r>
      <w:r w:rsidR="00FC30BB" w:rsidRPr="00210C15">
        <w:rPr>
          <w:szCs w:val="24"/>
        </w:rPr>
        <w:t xml:space="preserve">kaip </w:t>
      </w:r>
      <w:r w:rsidR="008B0791" w:rsidRPr="00210C15">
        <w:rPr>
          <w:szCs w:val="24"/>
        </w:rPr>
        <w:t>V</w:t>
      </w:r>
      <w:r w:rsidR="00FC30BB" w:rsidRPr="00210C15">
        <w:rPr>
          <w:szCs w:val="24"/>
        </w:rPr>
        <w:t>isos dienos mokyklai pritaikyti švietimo įstaig</w:t>
      </w:r>
      <w:r w:rsidRPr="00210C15">
        <w:rPr>
          <w:szCs w:val="24"/>
        </w:rPr>
        <w:t>os</w:t>
      </w:r>
      <w:r w:rsidR="00FC30BB" w:rsidRPr="00210C15">
        <w:rPr>
          <w:szCs w:val="24"/>
        </w:rPr>
        <w:t xml:space="preserve"> veiklą, kaip koreguoti mokinių vežimo tvarkaraščius</w:t>
      </w:r>
      <w:r w:rsidRPr="00210C15">
        <w:rPr>
          <w:szCs w:val="24"/>
        </w:rPr>
        <w:t>.</w:t>
      </w:r>
      <w:r w:rsidR="00C13A9E" w:rsidRPr="00210C15">
        <w:rPr>
          <w:szCs w:val="24"/>
        </w:rPr>
        <w:t xml:space="preserve"> Pasirinkus įgyvendinti Visos dienos mokyklos modelį, tarp metinių švietimo įstaigos vadovo strateginio valdymo užduočių gali būti ir tokia: kuriamas naujas paslaugų, turinio ir finansavimo modelis; kaip rezultato siekiamybė: gebama kurti, valdyti ir tobulinti švietimo įstaigos organizacinę struktūrą ir infrastruktūrą, teikiamos </w:t>
      </w:r>
      <w:r w:rsidR="00C13A9E" w:rsidRPr="00210C15">
        <w:rPr>
          <w:szCs w:val="24"/>
          <w:lang w:eastAsia="lt-LT"/>
        </w:rPr>
        <w:t>užimtumo, švietimo, kultūros paslaugos.</w:t>
      </w:r>
    </w:p>
    <w:p w:rsidR="00B07158" w:rsidRPr="00210C15" w:rsidRDefault="00B07158" w:rsidP="00B07158">
      <w:pPr>
        <w:spacing w:after="0" w:line="240" w:lineRule="auto"/>
        <w:ind w:firstLine="851"/>
        <w:jc w:val="both"/>
        <w:rPr>
          <w:szCs w:val="24"/>
        </w:rPr>
      </w:pPr>
      <w:r w:rsidRPr="00210C15">
        <w:rPr>
          <w:szCs w:val="24"/>
        </w:rPr>
        <w:t xml:space="preserve">2018 m. rudenį </w:t>
      </w:r>
      <w:r w:rsidRPr="00210C15">
        <w:rPr>
          <w:rFonts w:cs="Times New Roman"/>
          <w:b/>
          <w:szCs w:val="24"/>
        </w:rPr>
        <w:t>Kultūros paso</w:t>
      </w:r>
      <w:r w:rsidRPr="00210C15">
        <w:rPr>
          <w:rFonts w:cs="Times New Roman"/>
          <w:szCs w:val="24"/>
        </w:rPr>
        <w:t xml:space="preserve"> paslaugos galiojo pradinių klasių mokiniams, nuo 2019 m. pradžios Kultūros pasas skirtas visiems mokiniams. Orientuojantis į laukiamus rezultatus (</w:t>
      </w:r>
      <w:r w:rsidRPr="00210C15">
        <w:rPr>
          <w:rFonts w:eastAsia="Times New Roman" w:cs="Times New Roman"/>
          <w:spacing w:val="2"/>
          <w:szCs w:val="24"/>
          <w:lang w:eastAsia="lt-LT"/>
        </w:rPr>
        <w:t>skatinamas kultūrinis mokinių sąmoningumas, ugdomos kūrybingos asmenybės, stiprinamos bendrosios meninės / kultūrinės kompetencijos, reikalingos savarankiškai ir aktyviai dalyvauti meninėje kūryboje ir šiuolaikiniame kultūriniame gyvenime; formuojami mokinių kultūros vartojimo įpročiai bei stiprinamos mokinių nuostatos, kad kultūros vartojimas yra prasminga veikla; mokinių patirtis, įgyta dalyvaujant kultūriniuose renginiuose ir (ar) kultūrinės edukacijos užsiėmimuose, padeda jiems ugdymosi procesuose</w:t>
      </w:r>
      <w:r w:rsidRPr="00210C15">
        <w:rPr>
          <w:rFonts w:cs="Times New Roman"/>
          <w:szCs w:val="24"/>
        </w:rPr>
        <w:t>), veiklos sietinos su kryptingu neformaliuoju ugdymu.</w:t>
      </w:r>
    </w:p>
    <w:p w:rsidR="00B07158" w:rsidRPr="00210C15" w:rsidRDefault="00B07158" w:rsidP="00B07158">
      <w:pPr>
        <w:spacing w:after="0"/>
        <w:ind w:firstLine="851"/>
        <w:jc w:val="both"/>
        <w:rPr>
          <w:rFonts w:cs="Times New Roman"/>
          <w:szCs w:val="24"/>
          <w:lang w:eastAsia="lt-LT"/>
        </w:rPr>
      </w:pPr>
    </w:p>
    <w:p w:rsidR="00B07158" w:rsidRPr="00210C15" w:rsidRDefault="00B07158" w:rsidP="00B07158">
      <w:pPr>
        <w:spacing w:after="0"/>
        <w:ind w:firstLine="851"/>
        <w:jc w:val="both"/>
      </w:pPr>
      <w:r w:rsidRPr="00210C15">
        <w:rPr>
          <w:szCs w:val="24"/>
          <w:lang w:eastAsia="lt-LT"/>
        </w:rPr>
        <w:t>Plėtojama priemonė „</w:t>
      </w:r>
      <w:r w:rsidRPr="00210C15">
        <w:t xml:space="preserve">Įgyvendinti </w:t>
      </w:r>
      <w:r w:rsidRPr="00210C15">
        <w:rPr>
          <w:b/>
        </w:rPr>
        <w:t>neformaliojo suaugusiųjų švietimo ir tęstinio mokymosi</w:t>
      </w:r>
      <w:r w:rsidRPr="00210C15">
        <w:t xml:space="preserve"> veiksmų planą</w:t>
      </w:r>
      <w:r w:rsidRPr="00210C15">
        <w:rPr>
          <w:szCs w:val="24"/>
          <w:lang w:eastAsia="lt-LT"/>
        </w:rPr>
        <w:t>“ (uždavinys „</w:t>
      </w:r>
      <w:r w:rsidRPr="00210C15">
        <w:t>Užtikrinti efektyvią ugdymo įstaigų veiklą</w:t>
      </w:r>
      <w:r w:rsidRPr="00210C15">
        <w:rPr>
          <w:szCs w:val="24"/>
          <w:lang w:eastAsia="lt-LT"/>
        </w:rPr>
        <w:t>“).</w:t>
      </w:r>
      <w:r w:rsidR="00E060A8" w:rsidRPr="00210C15">
        <w:rPr>
          <w:szCs w:val="24"/>
          <w:lang w:eastAsia="lt-LT"/>
        </w:rPr>
        <w:t xml:space="preserve"> Vadovaujamasi Kėdainių rajono savivaldybės neformaliojo suaugusiųjų švietimo ir tęstinio mokymosi programų finansavimo tvarkos aprašu ir Kėdainių rajono savivaldybės neformaliojo suaugusiųjų švietimo ir tęstinio mokymosi 2017–2019 m. veiksmų planu (dokumentai patvirtinti 2017 m. vasario 17 d. Kėdainių rajono savivaldybės tarybos sprendimu Nr. TS-8). </w:t>
      </w:r>
      <w:r w:rsidRPr="00210C15">
        <w:t>Organizuojant neformalųjį suaugusiųjų švietimą ir tęstinį mokymąsi, siekiama sudaryti sąlygas suaugusie</w:t>
      </w:r>
      <w:r w:rsidR="006F4FBC" w:rsidRPr="00210C15">
        <w:t>sie</w:t>
      </w:r>
      <w:r w:rsidRPr="00210C15">
        <w:t>ms tenkinti savišvietos poreikį, lavinti kūrybinius gebėjimus, tobulinti bendrąsias ir profesines kompetencijas, skatinti tapti aktyviais demokratinės visuomenės nariais.</w:t>
      </w:r>
    </w:p>
    <w:p w:rsidR="00384CB1" w:rsidRPr="00210C15" w:rsidRDefault="00384CB1" w:rsidP="00B07158">
      <w:pPr>
        <w:spacing w:after="0"/>
        <w:ind w:firstLine="851"/>
        <w:jc w:val="both"/>
      </w:pPr>
      <w:r w:rsidRPr="00210C15">
        <w:rPr>
          <w:szCs w:val="24"/>
        </w:rPr>
        <w:t>Kėdainių suaugusiųjų ir jaunimo mokymo centro Suaugusiųjų skyriuje pagal bendrojo ugdymo programas</w:t>
      </w:r>
      <w:r w:rsidR="00AC0699" w:rsidRPr="00210C15">
        <w:rPr>
          <w:szCs w:val="24"/>
        </w:rPr>
        <w:t xml:space="preserve"> 2018 m.</w:t>
      </w:r>
      <w:r w:rsidRPr="00210C15">
        <w:rPr>
          <w:szCs w:val="24"/>
        </w:rPr>
        <w:t xml:space="preserve"> mokėsi 143 mokiniai (2017 m. – 137 mokiniai (2016 m. – 142 mokiniai).</w:t>
      </w:r>
    </w:p>
    <w:p w:rsidR="00384CB1" w:rsidRPr="00210C15" w:rsidRDefault="00384CB1" w:rsidP="00B07158">
      <w:pPr>
        <w:spacing w:after="0"/>
        <w:ind w:firstLine="851"/>
        <w:jc w:val="both"/>
      </w:pPr>
      <w:r w:rsidRPr="00210C15">
        <w:t>Nustatyta, kad Kėdainių suaugusiųjų ir jaunimo mokymo centras atitinka Lietuvos Respublikos švietimo ir mokslo ministro nustatytus mokymo nuotoliniu ugdymo proceso organizavimo būdu kriterijus, todėl nuo 2016 m. rugsėjo mėn. mokoma nuotoliniu ugdymo proceso organizavimo būdu pagal suaugusiųjų vidurinio ugdymo programą.</w:t>
      </w:r>
    </w:p>
    <w:p w:rsidR="00AC0699" w:rsidRPr="00210C15" w:rsidRDefault="00AC0699" w:rsidP="00B07158">
      <w:pPr>
        <w:spacing w:after="0"/>
        <w:ind w:firstLine="851"/>
        <w:jc w:val="both"/>
      </w:pPr>
      <w:bookmarkStart w:id="1" w:name="_Hlk534700831"/>
      <w:r w:rsidRPr="00210C15">
        <w:t>Kėdainių suaugusiųjų ir jaunimo mokymo centras yra savivaldybės bazinė mokykla, kuri organizuoja ir vykdo valstybinės kalbos mokėjimo ir Lietuvos Respublikos Konstitucijos pagrindų egzaminus</w:t>
      </w:r>
      <w:bookmarkEnd w:id="1"/>
      <w:r w:rsidRPr="00210C15">
        <w:t xml:space="preserve"> asmenims, siekiantiems gauti Lietuvos Respublikos pilietybę.</w:t>
      </w:r>
    </w:p>
    <w:p w:rsidR="00B07158" w:rsidRPr="00210C15" w:rsidRDefault="00B07158" w:rsidP="00B07158">
      <w:pPr>
        <w:spacing w:after="0"/>
        <w:ind w:firstLine="851"/>
        <w:jc w:val="both"/>
        <w:rPr>
          <w:szCs w:val="24"/>
          <w:lang w:eastAsia="lt-LT"/>
        </w:rPr>
      </w:pPr>
      <w:r w:rsidRPr="00210C15">
        <w:rPr>
          <w:szCs w:val="24"/>
          <w:lang w:eastAsia="lt-LT"/>
        </w:rPr>
        <w:t xml:space="preserve">Rajono savivaldybės neformaliojo suaugusiųjų švietimo ir tęstinio mokymosi veiksmų plano įgyvendinimo koordinatorė </w:t>
      </w:r>
      <w:r>
        <w:rPr>
          <w:szCs w:val="24"/>
          <w:lang w:eastAsia="lt-LT"/>
        </w:rPr>
        <w:t xml:space="preserve">yra Kėdainių švietimo pagalbos tarnyba, veiksmų planui finansuoti 2016 m. buvo skirta 3 tūkst. Eur, 2017 ir 2018 m. – po 5 tūkst. Eur (taigi pastaruosius dvejus </w:t>
      </w:r>
      <w:r>
        <w:rPr>
          <w:szCs w:val="24"/>
          <w:lang w:eastAsia="lt-LT"/>
        </w:rPr>
        <w:lastRenderedPageBreak/>
        <w:t>metus 60 proc</w:t>
      </w:r>
      <w:r w:rsidRPr="00210C15">
        <w:rPr>
          <w:szCs w:val="24"/>
          <w:lang w:eastAsia="lt-LT"/>
        </w:rPr>
        <w:t xml:space="preserve">. daugiau nei 2016 m.). </w:t>
      </w:r>
      <w:bookmarkStart w:id="2" w:name="_Hlk534700116"/>
      <w:r w:rsidR="00E060A8" w:rsidRPr="00210C15">
        <w:rPr>
          <w:szCs w:val="24"/>
          <w:lang w:eastAsia="lt-LT"/>
        </w:rPr>
        <w:t>Pagal 2017–2019 m. veiksmų planą įgyvendinamos priemonės, skirtos Trečiojo amžiaus universitetų lankytojams; kito</w:t>
      </w:r>
      <w:r w:rsidR="001D5D8C" w:rsidRPr="00210C15">
        <w:rPr>
          <w:szCs w:val="24"/>
          <w:lang w:eastAsia="lt-LT"/>
        </w:rPr>
        <w:t>mi</w:t>
      </w:r>
      <w:r w:rsidR="00E060A8" w:rsidRPr="00210C15">
        <w:rPr>
          <w:szCs w:val="24"/>
          <w:lang w:eastAsia="lt-LT"/>
        </w:rPr>
        <w:t>s priemonė</w:t>
      </w:r>
      <w:r w:rsidR="001D5D8C" w:rsidRPr="00210C15">
        <w:rPr>
          <w:szCs w:val="24"/>
          <w:lang w:eastAsia="lt-LT"/>
        </w:rPr>
        <w:t>mi</w:t>
      </w:r>
      <w:r w:rsidR="00E060A8" w:rsidRPr="00210C15">
        <w:rPr>
          <w:szCs w:val="24"/>
          <w:lang w:eastAsia="lt-LT"/>
        </w:rPr>
        <w:t xml:space="preserve">s </w:t>
      </w:r>
      <w:r w:rsidR="001D5D8C" w:rsidRPr="00210C15">
        <w:rPr>
          <w:szCs w:val="24"/>
          <w:lang w:eastAsia="lt-LT"/>
        </w:rPr>
        <w:t xml:space="preserve">įgyvendinamos užsienio kalbų mokymo, krašto pažinimo ir etnokultūros ugdymo, iniciatyvumo ir verslumo ugdymo, menų ugdymo, informacinių komunikacinių technologijų įgūdžių ugdymo, profesinių kompetencijų ugdymo, socialinių ir pilietinių įgūdžių ugdymo programos. </w:t>
      </w:r>
      <w:bookmarkEnd w:id="2"/>
      <w:r w:rsidRPr="00210C15">
        <w:t xml:space="preserve">Kėdainių suaugusiųjų ir jaunimo mokymo centre sėkmingai plėtojama Trečiojo amžiaus universiteto veikla. </w:t>
      </w:r>
      <w:r w:rsidR="00E060A8" w:rsidRPr="00210C15">
        <w:t xml:space="preserve">Kitas Trečiojo amžiaus universitetas </w:t>
      </w:r>
      <w:r w:rsidR="00AF4238" w:rsidRPr="00210C15">
        <w:t xml:space="preserve">puikiai </w:t>
      </w:r>
      <w:r w:rsidR="00E060A8" w:rsidRPr="00210C15">
        <w:t xml:space="preserve">veikia TAU Kauno apskrities filialo Kėdainių humanitarinių ir socialinių mokslų fakultete. </w:t>
      </w:r>
      <w:bookmarkStart w:id="3" w:name="_Hlk534699467"/>
      <w:r w:rsidRPr="00210C15">
        <w:rPr>
          <w:szCs w:val="24"/>
          <w:lang w:eastAsia="lt-LT"/>
        </w:rPr>
        <w:t>Suaugusiųjų savaitės organizatorius, koordinatorius ir dalyvis yra Kėdainių suaugusiųjų ir jaunimo mokymo centras.</w:t>
      </w:r>
    </w:p>
    <w:p w:rsidR="008148BB" w:rsidRPr="00210C15" w:rsidRDefault="008148BB" w:rsidP="00B07158">
      <w:pPr>
        <w:spacing w:after="0"/>
        <w:ind w:firstLine="851"/>
        <w:jc w:val="both"/>
        <w:rPr>
          <w:szCs w:val="24"/>
        </w:rPr>
      </w:pPr>
      <w:bookmarkStart w:id="4" w:name="_Hlk534699779"/>
      <w:bookmarkEnd w:id="3"/>
      <w:r w:rsidRPr="00210C15">
        <w:rPr>
          <w:szCs w:val="24"/>
        </w:rPr>
        <w:t>Šėtos gimnazijos skyriuje – Pagirių Adomo Jakšto daugiafunkciame centre ir Krakių Mikalojaus Katkaus skyriuje – Pajieslio daugiafunkciame centre vykdomos ne tik švietimo</w:t>
      </w:r>
      <w:r w:rsidR="00AF4238" w:rsidRPr="00210C15">
        <w:rPr>
          <w:szCs w:val="24"/>
        </w:rPr>
        <w:t xml:space="preserve">, </w:t>
      </w:r>
      <w:r w:rsidRPr="00210C15">
        <w:rPr>
          <w:szCs w:val="24"/>
        </w:rPr>
        <w:t xml:space="preserve">kultūros </w:t>
      </w:r>
      <w:r w:rsidR="00AF4238" w:rsidRPr="00210C15">
        <w:rPr>
          <w:szCs w:val="24"/>
        </w:rPr>
        <w:t xml:space="preserve">ir sveikatos </w:t>
      </w:r>
      <w:r w:rsidRPr="00210C15">
        <w:rPr>
          <w:szCs w:val="24"/>
        </w:rPr>
        <w:t xml:space="preserve">veiklos, bet ir </w:t>
      </w:r>
      <w:r w:rsidR="00AF4238" w:rsidRPr="00210C15">
        <w:rPr>
          <w:szCs w:val="24"/>
        </w:rPr>
        <w:t xml:space="preserve">kai kurios socialinės, sporto paslaugos, </w:t>
      </w:r>
      <w:r w:rsidR="000652C4" w:rsidRPr="00210C15">
        <w:rPr>
          <w:szCs w:val="24"/>
        </w:rPr>
        <w:t xml:space="preserve">daugiafunkciuose centruose </w:t>
      </w:r>
      <w:r w:rsidR="00AF4238" w:rsidRPr="00210C15">
        <w:rPr>
          <w:szCs w:val="24"/>
        </w:rPr>
        <w:t xml:space="preserve">telkiama </w:t>
      </w:r>
      <w:r w:rsidR="000652C4" w:rsidRPr="00210C15">
        <w:rPr>
          <w:szCs w:val="24"/>
        </w:rPr>
        <w:t xml:space="preserve">vietos </w:t>
      </w:r>
      <w:r w:rsidRPr="00210C15">
        <w:rPr>
          <w:szCs w:val="24"/>
        </w:rPr>
        <w:t>bendruomeni</w:t>
      </w:r>
      <w:r w:rsidR="000652C4" w:rsidRPr="00210C15">
        <w:rPr>
          <w:szCs w:val="24"/>
        </w:rPr>
        <w:t>ų</w:t>
      </w:r>
      <w:r w:rsidRPr="00210C15">
        <w:rPr>
          <w:szCs w:val="24"/>
        </w:rPr>
        <w:t xml:space="preserve"> veikla, čia yra bendruomenių centrų buveinės.</w:t>
      </w:r>
      <w:r w:rsidR="000652C4" w:rsidRPr="00210C15">
        <w:rPr>
          <w:szCs w:val="24"/>
        </w:rPr>
        <w:t xml:space="preserve"> Viena iš centrų veiklų yra ir neformalusis suaugusiųjų švietimas, vaikų užimtumas.</w:t>
      </w:r>
      <w:bookmarkEnd w:id="4"/>
    </w:p>
    <w:p w:rsidR="000652C4" w:rsidRPr="00210C15" w:rsidRDefault="00E74018" w:rsidP="00B07158">
      <w:pPr>
        <w:spacing w:after="0"/>
        <w:ind w:firstLine="851"/>
        <w:jc w:val="both"/>
        <w:rPr>
          <w:szCs w:val="24"/>
        </w:rPr>
      </w:pPr>
      <w:r w:rsidRPr="00210C15">
        <w:rPr>
          <w:szCs w:val="24"/>
        </w:rPr>
        <w:t>Kuriant ir p</w:t>
      </w:r>
      <w:r w:rsidR="000652C4" w:rsidRPr="00210C15">
        <w:rPr>
          <w:szCs w:val="24"/>
        </w:rPr>
        <w:t>lėtojant formaliojo ir neformaliojo švietimo</w:t>
      </w:r>
      <w:r w:rsidRPr="00210C15">
        <w:rPr>
          <w:szCs w:val="24"/>
        </w:rPr>
        <w:t xml:space="preserve"> programų, veiklų ir paslaugų</w:t>
      </w:r>
      <w:r w:rsidR="000652C4" w:rsidRPr="00210C15">
        <w:rPr>
          <w:szCs w:val="24"/>
        </w:rPr>
        <w:t xml:space="preserve"> dermes, Kėdainių suaugusiųjų ir jaunimo mokymo </w:t>
      </w:r>
      <w:bookmarkStart w:id="5" w:name="_Hlk534699530"/>
      <w:r w:rsidR="000652C4" w:rsidRPr="00210C15">
        <w:rPr>
          <w:szCs w:val="24"/>
        </w:rPr>
        <w:t xml:space="preserve">centras, bendradarbiaudamas </w:t>
      </w:r>
      <w:r w:rsidRPr="00210C15">
        <w:rPr>
          <w:szCs w:val="24"/>
        </w:rPr>
        <w:t xml:space="preserve">su Kauno klientų aptarnavimo departamento (Užimtumo tarnybos prie Lietuvos Respublikos socialinės apsaugos ir darbo ministerijos padaliniu) Kėdainių skyriumi (buv. Darbo birža), sudaro sąlygas įvairių poreikių ir gebėjimų asmenims mokytis visą gyvenimą, įgyti ar tobulinti kompetencijas ir keisti kvalifikacijas pagal </w:t>
      </w:r>
      <w:r w:rsidR="000652C4" w:rsidRPr="00210C15">
        <w:rPr>
          <w:szCs w:val="24"/>
        </w:rPr>
        <w:t>tęstinio profesinio mokymo programas.</w:t>
      </w:r>
      <w:bookmarkEnd w:id="5"/>
    </w:p>
    <w:p w:rsidR="001D5D8C" w:rsidRPr="00210C15" w:rsidRDefault="001D5D8C" w:rsidP="00B07158">
      <w:pPr>
        <w:spacing w:after="0"/>
        <w:ind w:firstLine="851"/>
        <w:jc w:val="both"/>
        <w:rPr>
          <w:szCs w:val="24"/>
          <w:lang w:eastAsia="lt-LT"/>
        </w:rPr>
      </w:pPr>
      <w:bookmarkStart w:id="6" w:name="_Hlk534365551"/>
      <w:r w:rsidRPr="00210C15">
        <w:rPr>
          <w:szCs w:val="24"/>
          <w:lang w:eastAsia="lt-LT"/>
        </w:rPr>
        <w:t>Rajono savivaldybėje reikėtų rengti modelį</w:t>
      </w:r>
      <w:r w:rsidR="007C62ED" w:rsidRPr="00210C15">
        <w:rPr>
          <w:szCs w:val="24"/>
          <w:lang w:eastAsia="lt-LT"/>
        </w:rPr>
        <w:t xml:space="preserve"> (ar suformuoti svarbiausius principus ir kryptis)</w:t>
      </w:r>
      <w:r w:rsidRPr="00210C15">
        <w:rPr>
          <w:szCs w:val="24"/>
          <w:lang w:eastAsia="lt-LT"/>
        </w:rPr>
        <w:t xml:space="preserve">, </w:t>
      </w:r>
      <w:r w:rsidR="00AF4238" w:rsidRPr="00210C15">
        <w:rPr>
          <w:szCs w:val="24"/>
          <w:lang w:eastAsia="lt-LT"/>
        </w:rPr>
        <w:t xml:space="preserve">kaip </w:t>
      </w:r>
      <w:r w:rsidR="00E74018" w:rsidRPr="00210C15">
        <w:rPr>
          <w:szCs w:val="24"/>
          <w:lang w:eastAsia="lt-LT"/>
        </w:rPr>
        <w:t xml:space="preserve">skatinti tarpinstitucinį bendradarbiavimą, ryšius su socialiniais partneriais, kaip registruoti suaugusiųjų švietimo srityje dirbančius juridinius ir fizinius asmenis, kaip </w:t>
      </w:r>
      <w:r w:rsidR="00AF4238" w:rsidRPr="00210C15">
        <w:rPr>
          <w:szCs w:val="24"/>
          <w:lang w:eastAsia="lt-LT"/>
        </w:rPr>
        <w:t xml:space="preserve">koordinuoti </w:t>
      </w:r>
      <w:r w:rsidR="00E74018" w:rsidRPr="00210C15">
        <w:rPr>
          <w:szCs w:val="24"/>
          <w:lang w:eastAsia="lt-LT"/>
        </w:rPr>
        <w:t xml:space="preserve">jų </w:t>
      </w:r>
      <w:r w:rsidR="00AF4238" w:rsidRPr="00210C15">
        <w:rPr>
          <w:szCs w:val="24"/>
          <w:lang w:eastAsia="lt-LT"/>
        </w:rPr>
        <w:t xml:space="preserve">veiklas, kaip plėtoti formaliojo ir neformaliojo švietimo galimybes, kaip </w:t>
      </w:r>
      <w:r w:rsidRPr="00210C15">
        <w:rPr>
          <w:szCs w:val="24"/>
          <w:lang w:eastAsia="lt-LT"/>
        </w:rPr>
        <w:t>sukurti finansinių ir organizacinių paskatų</w:t>
      </w:r>
      <w:r w:rsidR="00AF4238" w:rsidRPr="00210C15">
        <w:rPr>
          <w:szCs w:val="24"/>
          <w:lang w:eastAsia="lt-LT"/>
        </w:rPr>
        <w:t>, švietimo prieinamumo ir paslaugų įvairovės</w:t>
      </w:r>
      <w:r w:rsidR="00F27BB1" w:rsidRPr="00210C15">
        <w:rPr>
          <w:szCs w:val="24"/>
          <w:lang w:eastAsia="lt-LT"/>
        </w:rPr>
        <w:t>, neformaliuoju būdu įgytų kompetencijų pripažinimo</w:t>
      </w:r>
      <w:r w:rsidR="00AF4238" w:rsidRPr="00210C15">
        <w:rPr>
          <w:szCs w:val="24"/>
          <w:lang w:eastAsia="lt-LT"/>
        </w:rPr>
        <w:t xml:space="preserve"> </w:t>
      </w:r>
      <w:r w:rsidRPr="00210C15">
        <w:rPr>
          <w:szCs w:val="24"/>
          <w:lang w:eastAsia="lt-LT"/>
        </w:rPr>
        <w:t xml:space="preserve">sistemą, kuri sudarytų palankesnes ir tolygesnes sąlygas plėtojant </w:t>
      </w:r>
      <w:r w:rsidR="00AF4238" w:rsidRPr="00210C15">
        <w:rPr>
          <w:szCs w:val="24"/>
          <w:lang w:eastAsia="lt-LT"/>
        </w:rPr>
        <w:t xml:space="preserve">aktyvų ir veiksmingą </w:t>
      </w:r>
      <w:r w:rsidRPr="00210C15">
        <w:rPr>
          <w:szCs w:val="24"/>
          <w:lang w:eastAsia="lt-LT"/>
        </w:rPr>
        <w:t>suaugusiųjų mokymąsi visą gyvenimą. Veiksmų planui finansuoti reikėtų didesnių sumų</w:t>
      </w:r>
      <w:r w:rsidR="00F27BB1" w:rsidRPr="00210C15">
        <w:rPr>
          <w:szCs w:val="24"/>
          <w:lang w:eastAsia="lt-LT"/>
        </w:rPr>
        <w:t xml:space="preserve"> (ne 5 tūkst. Eur metams)</w:t>
      </w:r>
      <w:r w:rsidRPr="00210C15">
        <w:rPr>
          <w:szCs w:val="24"/>
          <w:lang w:eastAsia="lt-LT"/>
        </w:rPr>
        <w:t>.</w:t>
      </w:r>
    </w:p>
    <w:p w:rsidR="00505EC3" w:rsidRPr="00210C15" w:rsidRDefault="00505EC3" w:rsidP="00B07158">
      <w:pPr>
        <w:spacing w:after="0"/>
        <w:ind w:firstLine="851"/>
        <w:jc w:val="both"/>
        <w:rPr>
          <w:szCs w:val="24"/>
          <w:lang w:eastAsia="lt-LT"/>
        </w:rPr>
      </w:pPr>
      <w:r w:rsidRPr="00210C15">
        <w:rPr>
          <w:szCs w:val="24"/>
          <w:lang w:eastAsia="lt-LT"/>
        </w:rPr>
        <w:t xml:space="preserve">Mokymosi visą gyvenimą plėtros 2017–2020 metų veiksmų plane (patvirtinta švietimo ir mokslo ministro 2017 m. birželio </w:t>
      </w:r>
      <w:r w:rsidR="00F27BB1" w:rsidRPr="00210C15">
        <w:rPr>
          <w:szCs w:val="24"/>
          <w:lang w:eastAsia="lt-LT"/>
        </w:rPr>
        <w:t xml:space="preserve">28 </w:t>
      </w:r>
      <w:r w:rsidRPr="00210C15">
        <w:rPr>
          <w:szCs w:val="24"/>
          <w:lang w:eastAsia="lt-LT"/>
        </w:rPr>
        <w:t xml:space="preserve">d. įsakymu Nr. </w:t>
      </w:r>
      <w:r w:rsidR="00F27BB1" w:rsidRPr="00210C15">
        <w:rPr>
          <w:szCs w:val="24"/>
          <w:lang w:eastAsia="lt-LT"/>
        </w:rPr>
        <w:t>V-536</w:t>
      </w:r>
      <w:r w:rsidRPr="00210C15">
        <w:rPr>
          <w:szCs w:val="24"/>
          <w:lang w:eastAsia="lt-LT"/>
        </w:rPr>
        <w:t>) vienas tikslų – g</w:t>
      </w:r>
      <w:r w:rsidRPr="00210C15">
        <w:rPr>
          <w:rFonts w:cs="Times New Roman"/>
          <w:szCs w:val="24"/>
        </w:rPr>
        <w:t>arantuojant švietimo sistemos veiksmingumą, sukurti paskatų ir vienodų sąlygų mokytis visą gyvenimą sistemą, grįstą veiksminga pagalba atpažįstant save ir renkantis kelią veiklos pasaulyje</w:t>
      </w:r>
      <w:r w:rsidRPr="00210C15">
        <w:rPr>
          <w:szCs w:val="24"/>
          <w:lang w:eastAsia="lt-LT"/>
        </w:rPr>
        <w:t xml:space="preserve">. Taigi rajono savivaldybėje, tenkinant </w:t>
      </w:r>
      <w:r w:rsidR="00F27BB1" w:rsidRPr="00210C15">
        <w:rPr>
          <w:szCs w:val="24"/>
          <w:lang w:eastAsia="lt-LT"/>
        </w:rPr>
        <w:t xml:space="preserve">(atliepiant) </w:t>
      </w:r>
      <w:r w:rsidRPr="00210C15">
        <w:rPr>
          <w:szCs w:val="24"/>
          <w:lang w:eastAsia="lt-LT"/>
        </w:rPr>
        <w:t xml:space="preserve">darbo rinkos poreikius ir užtikrinant mokymosi visą gyvenimą galimybes, reikėtų spręsti, kaip </w:t>
      </w:r>
      <w:r w:rsidR="00F27BB1" w:rsidRPr="00210C15">
        <w:rPr>
          <w:szCs w:val="24"/>
          <w:lang w:eastAsia="lt-LT"/>
        </w:rPr>
        <w:t xml:space="preserve">rajono savivaldybės suaugusiųjų švietimą ir tęstinį mokymąsi kryptingai susieti su </w:t>
      </w:r>
      <w:r w:rsidRPr="00210C15">
        <w:rPr>
          <w:szCs w:val="24"/>
          <w:lang w:eastAsia="lt-LT"/>
        </w:rPr>
        <w:t>VšĮ Kėdainių profesini</w:t>
      </w:r>
      <w:r w:rsidR="00F27BB1" w:rsidRPr="00210C15">
        <w:rPr>
          <w:szCs w:val="24"/>
          <w:lang w:eastAsia="lt-LT"/>
        </w:rPr>
        <w:t>o</w:t>
      </w:r>
      <w:r w:rsidRPr="00210C15">
        <w:rPr>
          <w:szCs w:val="24"/>
          <w:lang w:eastAsia="lt-LT"/>
        </w:rPr>
        <w:t xml:space="preserve"> rengimo centr</w:t>
      </w:r>
      <w:r w:rsidR="00F27BB1" w:rsidRPr="00210C15">
        <w:rPr>
          <w:szCs w:val="24"/>
          <w:lang w:eastAsia="lt-LT"/>
        </w:rPr>
        <w:t>o pertvarka ir galimybėmis.</w:t>
      </w:r>
    </w:p>
    <w:bookmarkEnd w:id="6"/>
    <w:p w:rsidR="00B07158" w:rsidRPr="00210C15" w:rsidRDefault="00B07158" w:rsidP="00B07158">
      <w:pPr>
        <w:spacing w:after="0"/>
        <w:ind w:firstLine="851"/>
        <w:jc w:val="both"/>
        <w:rPr>
          <w:szCs w:val="24"/>
          <w:lang w:eastAsia="lt-LT"/>
        </w:rPr>
      </w:pPr>
    </w:p>
    <w:p w:rsidR="00B07158" w:rsidRPr="00210C15" w:rsidRDefault="00B07158" w:rsidP="00B07158">
      <w:pPr>
        <w:spacing w:after="0"/>
        <w:ind w:firstLine="851"/>
        <w:jc w:val="both"/>
        <w:rPr>
          <w:sz w:val="22"/>
        </w:rPr>
      </w:pPr>
      <w:r w:rsidRPr="00210C15">
        <w:rPr>
          <w:b/>
          <w:szCs w:val="24"/>
        </w:rPr>
        <w:t>Vaikų vasaros poilsio ir užimtumo stovyklų</w:t>
      </w:r>
      <w:r w:rsidRPr="00210C15">
        <w:rPr>
          <w:szCs w:val="24"/>
        </w:rPr>
        <w:t xml:space="preserve"> plėtra</w:t>
      </w:r>
      <w:r w:rsidR="00944E8D" w:rsidRPr="00210C15">
        <w:rPr>
          <w:szCs w:val="24"/>
        </w:rPr>
        <w:t xml:space="preserve"> kaip neformaliojo vaikų švietimo dalis </w:t>
      </w:r>
      <w:r w:rsidRPr="00210C15">
        <w:rPr>
          <w:szCs w:val="24"/>
        </w:rPr>
        <w:t>– viena Kėdainių rajono savivaldybės strateginio veiklos plano priemonių (uždavinys „Vykdyti švietimo viešąjį administravimą</w:t>
      </w:r>
      <w:r w:rsidRPr="00210C15">
        <w:rPr>
          <w:sz w:val="22"/>
        </w:rPr>
        <w:t>“).</w:t>
      </w:r>
      <w:r w:rsidRPr="00210C15">
        <w:t xml:space="preserve"> Siekiama </w:t>
      </w:r>
      <w:r w:rsidRPr="00210C15">
        <w:rPr>
          <w:szCs w:val="24"/>
          <w:lang w:val="pt-BR"/>
        </w:rPr>
        <w:t xml:space="preserve">atitikti </w:t>
      </w:r>
      <w:r>
        <w:rPr>
          <w:szCs w:val="24"/>
          <w:lang w:val="pt-BR"/>
        </w:rPr>
        <w:t xml:space="preserve">visuomenės lūkesčius, </w:t>
      </w:r>
      <w:r>
        <w:rPr>
          <w:szCs w:val="24"/>
        </w:rPr>
        <w:t xml:space="preserve">organizuoti ir </w:t>
      </w:r>
      <w:r>
        <w:rPr>
          <w:szCs w:val="24"/>
          <w:lang w:val="pt-BR"/>
        </w:rPr>
        <w:t xml:space="preserve">finansuoti </w:t>
      </w:r>
      <w:r>
        <w:rPr>
          <w:szCs w:val="24"/>
        </w:rPr>
        <w:t xml:space="preserve">kokybišką, turiningą vaikų užimtumą ir poilsį, nenutrūkstama edukacija orientuotą vasaros laisvalaikį, poilsį padaryti prieinamesnį didesniam vaikų skaičiui, užtikrinti socialiai remiamų, specialiųjų ugdymosi poreikių turinčių vaikų, socialinės rizikos šeimų vaikų ir socialiai </w:t>
      </w:r>
      <w:r w:rsidRPr="00210C15">
        <w:rPr>
          <w:szCs w:val="24"/>
        </w:rPr>
        <w:t>pažeidžiamų</w:t>
      </w:r>
      <w:r w:rsidR="00944E8D" w:rsidRPr="00210C15">
        <w:rPr>
          <w:szCs w:val="24"/>
        </w:rPr>
        <w:t>, socialinės atskirties grupės</w:t>
      </w:r>
      <w:r w:rsidRPr="00210C15">
        <w:rPr>
          <w:szCs w:val="24"/>
        </w:rPr>
        <w:t xml:space="preserve"> vaikų dalyvavimą, kurti saugią, sveiką ugdymo(si) ir poilsio aplinką, sudarant sąlygas vaikams plėtoti socialinę kompetenciją, kūrybiškumą ir iniciatyvą, tenkinti vaikų pažinimo, ugdymo(si) bei saviraiškos poreikius įvairiomis prasmingomis ir patraukliomis veiklomis, užtikrinti kokybės stebėseną ir priežiūrą, efektyvų skiriamų lėšų naudojimą rajono savivaldybėje.</w:t>
      </w:r>
    </w:p>
    <w:p w:rsidR="00B07158" w:rsidRDefault="00E13C09" w:rsidP="00B07158">
      <w:pPr>
        <w:spacing w:after="0"/>
        <w:ind w:firstLine="851"/>
        <w:jc w:val="both"/>
        <w:rPr>
          <w:szCs w:val="24"/>
        </w:rPr>
      </w:pPr>
      <w:bookmarkStart w:id="7" w:name="_Hlk531952857"/>
      <w:r w:rsidRPr="00210C15">
        <w:rPr>
          <w:rFonts w:eastAsia="SimSun"/>
        </w:rPr>
        <w:t xml:space="preserve">Mokinių edukacija vasarą </w:t>
      </w:r>
      <w:r w:rsidR="00FA6297" w:rsidRPr="00210C15">
        <w:rPr>
          <w:rFonts w:eastAsia="SimSun"/>
        </w:rPr>
        <w:t xml:space="preserve">finansuojama ir organizuojama vykdant projektinį konkursą. Lėšos konkursui numatomos rajono savivaldybės biudžete. </w:t>
      </w:r>
      <w:r w:rsidR="00B07158" w:rsidRPr="00210C15">
        <w:rPr>
          <w:rFonts w:eastAsia="SimSun"/>
        </w:rPr>
        <w:t xml:space="preserve">Vasarą veikia </w:t>
      </w:r>
      <w:r w:rsidR="00B07158" w:rsidRPr="00210C15">
        <w:t>vaikų vasaros poi</w:t>
      </w:r>
      <w:r w:rsidR="00B07158" w:rsidRPr="009F52DF">
        <w:t>lsio ir užimtumo stovyklos</w:t>
      </w:r>
      <w:r w:rsidR="00B07158">
        <w:t>, iš rajono savivaldybės biudžeto f</w:t>
      </w:r>
      <w:r w:rsidR="00B07158" w:rsidRPr="009F52DF">
        <w:t xml:space="preserve">inansuotos pagal Kėdainių rajono </w:t>
      </w:r>
      <w:r w:rsidR="00B07158" w:rsidRPr="009F52DF">
        <w:lastRenderedPageBreak/>
        <w:t>savivaldybės vaikų vasaros poilsio ir užimtumo programų konkursą</w:t>
      </w:r>
      <w:r w:rsidR="00B07158">
        <w:t xml:space="preserve">. Taip pat veikia </w:t>
      </w:r>
      <w:r w:rsidR="00B07158" w:rsidRPr="00F8506F">
        <w:t>dieninės vasaros poilsio stovyklos mokiniams, gaunantiems nemokamą maitinimą</w:t>
      </w:r>
      <w:r w:rsidR="00B07158">
        <w:t xml:space="preserve"> (finansuojama</w:t>
      </w:r>
      <w:r w:rsidR="006F4FBC" w:rsidRPr="006F4FBC">
        <w:t xml:space="preserve"> </w:t>
      </w:r>
      <w:r w:rsidR="006F4FBC">
        <w:t>valstybės</w:t>
      </w:r>
      <w:r w:rsidR="00B07158">
        <w:t>)</w:t>
      </w:r>
      <w:r w:rsidR="00B07158" w:rsidRPr="00F8506F">
        <w:t xml:space="preserve">. </w:t>
      </w:r>
      <w:r w:rsidR="00B07158">
        <w:t>Statistika apie 2016–2018 metais organizuotas stovyklas yra 2 lentelėje „Vaikų vasaros stovyklos“.</w:t>
      </w:r>
    </w:p>
    <w:bookmarkEnd w:id="7"/>
    <w:p w:rsidR="00B07158" w:rsidRDefault="00B07158" w:rsidP="00B07158">
      <w:pPr>
        <w:spacing w:after="0"/>
        <w:rPr>
          <w:rFonts w:cs="Times New Roman"/>
          <w:szCs w:val="24"/>
        </w:rPr>
      </w:pPr>
    </w:p>
    <w:p w:rsidR="00210C15" w:rsidRDefault="00210C15" w:rsidP="00B07158">
      <w:pPr>
        <w:spacing w:after="0"/>
        <w:rPr>
          <w:rFonts w:cs="Times New Roman"/>
          <w:szCs w:val="24"/>
        </w:rPr>
      </w:pPr>
    </w:p>
    <w:p w:rsidR="00B07158" w:rsidRPr="00BF16CC" w:rsidRDefault="00B07158" w:rsidP="00B07158">
      <w:pPr>
        <w:spacing w:after="0"/>
        <w:jc w:val="center"/>
        <w:rPr>
          <w:rFonts w:cs="Times New Roman"/>
          <w:b/>
          <w:szCs w:val="24"/>
        </w:rPr>
      </w:pPr>
      <w:r>
        <w:rPr>
          <w:rFonts w:cs="Times New Roman"/>
          <w:b/>
          <w:szCs w:val="24"/>
        </w:rPr>
        <w:t>2 l</w:t>
      </w:r>
      <w:r w:rsidRPr="00BF16CC">
        <w:rPr>
          <w:rFonts w:cs="Times New Roman"/>
          <w:b/>
          <w:szCs w:val="24"/>
        </w:rPr>
        <w:t>entelė. Vaikų vasaros stovyklos</w:t>
      </w:r>
    </w:p>
    <w:tbl>
      <w:tblPr>
        <w:tblStyle w:val="TableGrid"/>
        <w:tblW w:w="0" w:type="auto"/>
        <w:tblLook w:val="04A0" w:firstRow="1" w:lastRow="0" w:firstColumn="1" w:lastColumn="0" w:noHBand="0" w:noVBand="1"/>
      </w:tblPr>
      <w:tblGrid>
        <w:gridCol w:w="818"/>
        <w:gridCol w:w="1268"/>
        <w:gridCol w:w="2643"/>
        <w:gridCol w:w="1745"/>
        <w:gridCol w:w="1555"/>
        <w:gridCol w:w="1141"/>
        <w:gridCol w:w="2024"/>
        <w:gridCol w:w="1708"/>
        <w:gridCol w:w="1075"/>
      </w:tblGrid>
      <w:tr w:rsidR="00B07158" w:rsidRPr="007C55AF" w:rsidTr="000F66A2">
        <w:tc>
          <w:tcPr>
            <w:tcW w:w="818" w:type="dxa"/>
            <w:vMerge w:val="restart"/>
            <w:vAlign w:val="center"/>
          </w:tcPr>
          <w:p w:rsidR="00B07158" w:rsidRPr="00776D22" w:rsidRDefault="00B07158" w:rsidP="000F66A2">
            <w:pPr>
              <w:jc w:val="center"/>
              <w:rPr>
                <w:rFonts w:ascii="Times New Roman" w:hAnsi="Times New Roman" w:cs="Times New Roman"/>
                <w:b/>
              </w:rPr>
            </w:pPr>
            <w:r w:rsidRPr="00776D22">
              <w:rPr>
                <w:rFonts w:ascii="Times New Roman" w:hAnsi="Times New Roman" w:cs="Times New Roman"/>
                <w:b/>
              </w:rPr>
              <w:t>Metai</w:t>
            </w:r>
          </w:p>
        </w:tc>
        <w:tc>
          <w:tcPr>
            <w:tcW w:w="1268" w:type="dxa"/>
            <w:vMerge w:val="restart"/>
          </w:tcPr>
          <w:p w:rsidR="00B07158" w:rsidRPr="00776D22" w:rsidRDefault="00B07158" w:rsidP="000F66A2">
            <w:pPr>
              <w:jc w:val="center"/>
              <w:rPr>
                <w:rFonts w:ascii="Times New Roman" w:hAnsi="Times New Roman" w:cs="Times New Roman"/>
                <w:b/>
              </w:rPr>
            </w:pPr>
            <w:r w:rsidRPr="00776D22">
              <w:rPr>
                <w:rFonts w:ascii="Times New Roman" w:hAnsi="Times New Roman" w:cs="Times New Roman"/>
                <w:b/>
              </w:rPr>
              <w:t>Finansuota stovyklų (vasaros poilsio</w:t>
            </w:r>
            <w:r>
              <w:rPr>
                <w:rFonts w:ascii="Times New Roman" w:hAnsi="Times New Roman" w:cs="Times New Roman"/>
                <w:b/>
              </w:rPr>
              <w:t>, nemokamo maitinimo</w:t>
            </w:r>
            <w:r w:rsidRPr="00776D22">
              <w:rPr>
                <w:rFonts w:ascii="Times New Roman" w:hAnsi="Times New Roman" w:cs="Times New Roman"/>
                <w:b/>
              </w:rPr>
              <w:t>)</w:t>
            </w:r>
          </w:p>
        </w:tc>
        <w:tc>
          <w:tcPr>
            <w:tcW w:w="4388" w:type="dxa"/>
            <w:gridSpan w:val="2"/>
            <w:vAlign w:val="center"/>
          </w:tcPr>
          <w:p w:rsidR="00B07158" w:rsidRPr="00776D22" w:rsidRDefault="00B07158" w:rsidP="000F66A2">
            <w:pPr>
              <w:jc w:val="center"/>
              <w:rPr>
                <w:rFonts w:ascii="Times New Roman" w:hAnsi="Times New Roman" w:cs="Times New Roman"/>
                <w:b/>
              </w:rPr>
            </w:pPr>
            <w:r w:rsidRPr="00776D22">
              <w:rPr>
                <w:rFonts w:ascii="Times New Roman" w:hAnsi="Times New Roman" w:cs="Times New Roman"/>
                <w:b/>
              </w:rPr>
              <w:t>Iš jų - finansuota vasaros poilsio stovyklų</w:t>
            </w:r>
          </w:p>
        </w:tc>
        <w:tc>
          <w:tcPr>
            <w:tcW w:w="2696" w:type="dxa"/>
            <w:gridSpan w:val="2"/>
            <w:vAlign w:val="center"/>
          </w:tcPr>
          <w:p w:rsidR="00B07158" w:rsidRPr="00776D22" w:rsidRDefault="00B07158" w:rsidP="000F66A2">
            <w:pPr>
              <w:jc w:val="center"/>
              <w:rPr>
                <w:rFonts w:ascii="Times New Roman" w:hAnsi="Times New Roman" w:cs="Times New Roman"/>
                <w:b/>
              </w:rPr>
            </w:pPr>
            <w:r w:rsidRPr="00776D22">
              <w:rPr>
                <w:rFonts w:ascii="Times New Roman" w:hAnsi="Times New Roman" w:cs="Times New Roman"/>
                <w:b/>
              </w:rPr>
              <w:t>Lėšos vasaros poilsio stovykloms</w:t>
            </w:r>
          </w:p>
        </w:tc>
        <w:tc>
          <w:tcPr>
            <w:tcW w:w="4807" w:type="dxa"/>
            <w:gridSpan w:val="3"/>
            <w:vAlign w:val="center"/>
          </w:tcPr>
          <w:p w:rsidR="00B07158" w:rsidRPr="002C3C06" w:rsidRDefault="00B07158" w:rsidP="000F66A2">
            <w:pPr>
              <w:jc w:val="center"/>
              <w:rPr>
                <w:rFonts w:ascii="Times New Roman" w:hAnsi="Times New Roman" w:cs="Times New Roman"/>
                <w:b/>
              </w:rPr>
            </w:pPr>
            <w:r w:rsidRPr="002C3C06">
              <w:rPr>
                <w:rFonts w:ascii="Times New Roman" w:hAnsi="Times New Roman" w:cs="Times New Roman"/>
                <w:b/>
              </w:rPr>
              <w:t>Dalyviai</w:t>
            </w:r>
          </w:p>
        </w:tc>
      </w:tr>
      <w:tr w:rsidR="00B07158" w:rsidRPr="007C55AF" w:rsidTr="000F66A2">
        <w:tc>
          <w:tcPr>
            <w:tcW w:w="818" w:type="dxa"/>
            <w:vMerge/>
            <w:vAlign w:val="center"/>
          </w:tcPr>
          <w:p w:rsidR="00B07158" w:rsidRPr="00776D22" w:rsidRDefault="00B07158" w:rsidP="000F66A2">
            <w:pPr>
              <w:jc w:val="center"/>
              <w:rPr>
                <w:rFonts w:ascii="Times New Roman" w:hAnsi="Times New Roman" w:cs="Times New Roman"/>
                <w:b/>
              </w:rPr>
            </w:pPr>
          </w:p>
        </w:tc>
        <w:tc>
          <w:tcPr>
            <w:tcW w:w="1268" w:type="dxa"/>
            <w:vMerge/>
          </w:tcPr>
          <w:p w:rsidR="00B07158" w:rsidRPr="00776D22" w:rsidRDefault="00B07158" w:rsidP="000F66A2">
            <w:pPr>
              <w:jc w:val="center"/>
              <w:rPr>
                <w:rFonts w:ascii="Times New Roman" w:hAnsi="Times New Roman" w:cs="Times New Roman"/>
                <w:b/>
              </w:rPr>
            </w:pPr>
          </w:p>
        </w:tc>
        <w:tc>
          <w:tcPr>
            <w:tcW w:w="2643" w:type="dxa"/>
            <w:vAlign w:val="center"/>
          </w:tcPr>
          <w:p w:rsidR="00B07158" w:rsidRPr="00776D22" w:rsidRDefault="00B07158" w:rsidP="000F66A2">
            <w:pPr>
              <w:jc w:val="center"/>
              <w:rPr>
                <w:rFonts w:ascii="Times New Roman" w:hAnsi="Times New Roman" w:cs="Times New Roman"/>
                <w:b/>
              </w:rPr>
            </w:pPr>
            <w:r w:rsidRPr="00776D22">
              <w:rPr>
                <w:rFonts w:ascii="Times New Roman" w:hAnsi="Times New Roman" w:cs="Times New Roman"/>
                <w:b/>
              </w:rPr>
              <w:t>Iš viso</w:t>
            </w:r>
          </w:p>
        </w:tc>
        <w:tc>
          <w:tcPr>
            <w:tcW w:w="1745" w:type="dxa"/>
            <w:vAlign w:val="center"/>
          </w:tcPr>
          <w:p w:rsidR="00B07158" w:rsidRPr="00776D22" w:rsidRDefault="00B07158" w:rsidP="000F66A2">
            <w:pPr>
              <w:jc w:val="center"/>
              <w:rPr>
                <w:rFonts w:ascii="Times New Roman" w:hAnsi="Times New Roman" w:cs="Times New Roman"/>
                <w:b/>
              </w:rPr>
            </w:pPr>
            <w:r w:rsidRPr="00776D22">
              <w:rPr>
                <w:rFonts w:ascii="Times New Roman" w:hAnsi="Times New Roman" w:cs="Times New Roman"/>
                <w:b/>
              </w:rPr>
              <w:t xml:space="preserve">Iš jų </w:t>
            </w:r>
            <w:r>
              <w:rPr>
                <w:rFonts w:ascii="Times New Roman" w:hAnsi="Times New Roman" w:cs="Times New Roman"/>
                <w:b/>
              </w:rPr>
              <w:t>–</w:t>
            </w:r>
            <w:r w:rsidRPr="00776D22">
              <w:rPr>
                <w:rFonts w:ascii="Times New Roman" w:hAnsi="Times New Roman" w:cs="Times New Roman"/>
                <w:b/>
              </w:rPr>
              <w:t xml:space="preserve"> stacionarių</w:t>
            </w:r>
            <w:r>
              <w:rPr>
                <w:rFonts w:ascii="Times New Roman" w:hAnsi="Times New Roman" w:cs="Times New Roman"/>
                <w:b/>
              </w:rPr>
              <w:t xml:space="preserve"> (su laikinu apgyvendinimu)</w:t>
            </w:r>
          </w:p>
        </w:tc>
        <w:tc>
          <w:tcPr>
            <w:tcW w:w="1555" w:type="dxa"/>
            <w:vAlign w:val="center"/>
          </w:tcPr>
          <w:p w:rsidR="00B07158" w:rsidRPr="00776D22" w:rsidRDefault="00B07158" w:rsidP="000F66A2">
            <w:pPr>
              <w:jc w:val="center"/>
              <w:rPr>
                <w:rFonts w:ascii="Times New Roman" w:hAnsi="Times New Roman" w:cs="Times New Roman"/>
                <w:b/>
              </w:rPr>
            </w:pPr>
            <w:r w:rsidRPr="00776D22">
              <w:rPr>
                <w:rFonts w:ascii="Times New Roman" w:hAnsi="Times New Roman" w:cs="Times New Roman"/>
                <w:b/>
              </w:rPr>
              <w:t>Iš viso, tūkst. Eur</w:t>
            </w:r>
          </w:p>
        </w:tc>
        <w:tc>
          <w:tcPr>
            <w:tcW w:w="1141" w:type="dxa"/>
            <w:vAlign w:val="center"/>
          </w:tcPr>
          <w:p w:rsidR="00B07158" w:rsidRPr="002C3C06" w:rsidRDefault="00B07158" w:rsidP="000F66A2">
            <w:pPr>
              <w:jc w:val="center"/>
              <w:rPr>
                <w:rFonts w:ascii="Times New Roman" w:hAnsi="Times New Roman" w:cs="Times New Roman"/>
                <w:b/>
              </w:rPr>
            </w:pPr>
            <w:r w:rsidRPr="002C3C06">
              <w:rPr>
                <w:rFonts w:ascii="Times New Roman" w:hAnsi="Times New Roman" w:cs="Times New Roman"/>
                <w:b/>
              </w:rPr>
              <w:t>1 mok. skirta Eur</w:t>
            </w:r>
          </w:p>
        </w:tc>
        <w:tc>
          <w:tcPr>
            <w:tcW w:w="2024" w:type="dxa"/>
            <w:vAlign w:val="center"/>
          </w:tcPr>
          <w:p w:rsidR="00B07158" w:rsidRPr="002C3C06" w:rsidRDefault="00B07158" w:rsidP="000F66A2">
            <w:pPr>
              <w:jc w:val="center"/>
              <w:rPr>
                <w:rFonts w:ascii="Times New Roman" w:hAnsi="Times New Roman" w:cs="Times New Roman"/>
                <w:b/>
              </w:rPr>
            </w:pPr>
            <w:r w:rsidRPr="002C3C06">
              <w:rPr>
                <w:rFonts w:ascii="Times New Roman" w:hAnsi="Times New Roman" w:cs="Times New Roman"/>
                <w:b/>
              </w:rPr>
              <w:t>Iš viso</w:t>
            </w:r>
          </w:p>
        </w:tc>
        <w:tc>
          <w:tcPr>
            <w:tcW w:w="1708" w:type="dxa"/>
            <w:vAlign w:val="center"/>
          </w:tcPr>
          <w:p w:rsidR="00B07158" w:rsidRPr="002C3C06" w:rsidRDefault="00B07158" w:rsidP="000F66A2">
            <w:pPr>
              <w:jc w:val="center"/>
              <w:rPr>
                <w:rFonts w:ascii="Times New Roman" w:hAnsi="Times New Roman" w:cs="Times New Roman"/>
                <w:b/>
              </w:rPr>
            </w:pPr>
            <w:r w:rsidRPr="002C3C06">
              <w:rPr>
                <w:rFonts w:ascii="Times New Roman" w:hAnsi="Times New Roman" w:cs="Times New Roman"/>
                <w:b/>
              </w:rPr>
              <w:t>Visų besimokančiųjų proc.</w:t>
            </w:r>
            <w:r>
              <w:rPr>
                <w:rFonts w:ascii="Times New Roman" w:hAnsi="Times New Roman" w:cs="Times New Roman"/>
                <w:b/>
              </w:rPr>
              <w:t xml:space="preserve"> (pagal buv. mokslo metų pradžioje)</w:t>
            </w:r>
          </w:p>
        </w:tc>
        <w:tc>
          <w:tcPr>
            <w:tcW w:w="1075" w:type="dxa"/>
            <w:vAlign w:val="center"/>
          </w:tcPr>
          <w:p w:rsidR="00B07158" w:rsidRPr="002C3C06" w:rsidRDefault="00B07158" w:rsidP="000F66A2">
            <w:pPr>
              <w:jc w:val="center"/>
              <w:rPr>
                <w:rFonts w:ascii="Times New Roman" w:hAnsi="Times New Roman" w:cs="Times New Roman"/>
                <w:b/>
              </w:rPr>
            </w:pPr>
            <w:r w:rsidRPr="002C3C06">
              <w:rPr>
                <w:rFonts w:ascii="Times New Roman" w:hAnsi="Times New Roman" w:cs="Times New Roman"/>
                <w:b/>
              </w:rPr>
              <w:t>Socialiai remtinų</w:t>
            </w:r>
          </w:p>
        </w:tc>
      </w:tr>
      <w:tr w:rsidR="00B07158" w:rsidRPr="007C55AF" w:rsidTr="000F66A2">
        <w:tc>
          <w:tcPr>
            <w:tcW w:w="818" w:type="dxa"/>
          </w:tcPr>
          <w:p w:rsidR="00B07158" w:rsidRPr="007C55AF" w:rsidRDefault="00B07158" w:rsidP="000F66A2">
            <w:pPr>
              <w:rPr>
                <w:rFonts w:ascii="Times New Roman" w:hAnsi="Times New Roman" w:cs="Times New Roman"/>
              </w:rPr>
            </w:pPr>
            <w:r w:rsidRPr="007C55AF">
              <w:rPr>
                <w:rFonts w:ascii="Times New Roman" w:hAnsi="Times New Roman" w:cs="Times New Roman"/>
              </w:rPr>
              <w:t>2016</w:t>
            </w:r>
          </w:p>
        </w:tc>
        <w:tc>
          <w:tcPr>
            <w:tcW w:w="1268" w:type="dxa"/>
          </w:tcPr>
          <w:p w:rsidR="00B07158" w:rsidRPr="00776D22" w:rsidRDefault="00B07158" w:rsidP="000F66A2">
            <w:pPr>
              <w:jc w:val="center"/>
              <w:rPr>
                <w:rFonts w:ascii="Times New Roman" w:hAnsi="Times New Roman" w:cs="Times New Roman"/>
              </w:rPr>
            </w:pPr>
            <w:r w:rsidRPr="00776D22">
              <w:rPr>
                <w:rFonts w:ascii="Times New Roman" w:hAnsi="Times New Roman" w:cs="Times New Roman"/>
              </w:rPr>
              <w:t>47</w:t>
            </w:r>
          </w:p>
        </w:tc>
        <w:tc>
          <w:tcPr>
            <w:tcW w:w="2643" w:type="dxa"/>
          </w:tcPr>
          <w:p w:rsidR="00B07158" w:rsidRPr="007C55AF" w:rsidRDefault="00B07158" w:rsidP="000F66A2">
            <w:pPr>
              <w:jc w:val="center"/>
              <w:rPr>
                <w:rFonts w:ascii="Times New Roman" w:hAnsi="Times New Roman" w:cs="Times New Roman"/>
              </w:rPr>
            </w:pPr>
            <w:r w:rsidRPr="007C55AF">
              <w:rPr>
                <w:rFonts w:ascii="Times New Roman" w:hAnsi="Times New Roman" w:cs="Times New Roman"/>
              </w:rPr>
              <w:t>30</w:t>
            </w:r>
          </w:p>
        </w:tc>
        <w:tc>
          <w:tcPr>
            <w:tcW w:w="1745" w:type="dxa"/>
          </w:tcPr>
          <w:p w:rsidR="00B07158" w:rsidRPr="007C55AF" w:rsidRDefault="00B07158" w:rsidP="000F66A2">
            <w:pPr>
              <w:jc w:val="center"/>
              <w:rPr>
                <w:rFonts w:ascii="Times New Roman" w:hAnsi="Times New Roman" w:cs="Times New Roman"/>
              </w:rPr>
            </w:pPr>
            <w:r>
              <w:rPr>
                <w:rFonts w:ascii="Times New Roman" w:hAnsi="Times New Roman" w:cs="Times New Roman"/>
              </w:rPr>
              <w:t>6</w:t>
            </w:r>
          </w:p>
        </w:tc>
        <w:tc>
          <w:tcPr>
            <w:tcW w:w="1555" w:type="dxa"/>
          </w:tcPr>
          <w:p w:rsidR="00B07158" w:rsidRPr="007C55AF" w:rsidRDefault="00B07158" w:rsidP="000F66A2">
            <w:pPr>
              <w:jc w:val="center"/>
              <w:rPr>
                <w:rFonts w:ascii="Times New Roman" w:hAnsi="Times New Roman" w:cs="Times New Roman"/>
              </w:rPr>
            </w:pPr>
            <w:r w:rsidRPr="007C55AF">
              <w:rPr>
                <w:rFonts w:ascii="Times New Roman" w:hAnsi="Times New Roman" w:cs="Times New Roman"/>
              </w:rPr>
              <w:t>16</w:t>
            </w:r>
          </w:p>
        </w:tc>
        <w:tc>
          <w:tcPr>
            <w:tcW w:w="1141" w:type="dxa"/>
          </w:tcPr>
          <w:p w:rsidR="00B07158" w:rsidRPr="007C55AF" w:rsidRDefault="00B07158" w:rsidP="000F66A2">
            <w:pPr>
              <w:jc w:val="center"/>
              <w:rPr>
                <w:rFonts w:ascii="Times New Roman" w:hAnsi="Times New Roman" w:cs="Times New Roman"/>
              </w:rPr>
            </w:pPr>
            <w:r w:rsidRPr="007C55AF">
              <w:rPr>
                <w:rFonts w:ascii="Times New Roman" w:hAnsi="Times New Roman" w:cs="Times New Roman"/>
              </w:rPr>
              <w:t>20,54</w:t>
            </w:r>
          </w:p>
        </w:tc>
        <w:tc>
          <w:tcPr>
            <w:tcW w:w="2024" w:type="dxa"/>
          </w:tcPr>
          <w:p w:rsidR="00B07158" w:rsidRPr="00265BB4" w:rsidRDefault="00B07158" w:rsidP="000F66A2">
            <w:pPr>
              <w:jc w:val="center"/>
              <w:rPr>
                <w:rFonts w:ascii="Times New Roman" w:hAnsi="Times New Roman" w:cs="Times New Roman"/>
              </w:rPr>
            </w:pPr>
            <w:r w:rsidRPr="00265BB4">
              <w:rPr>
                <w:rFonts w:ascii="Times New Roman" w:hAnsi="Times New Roman" w:cs="Times New Roman"/>
              </w:rPr>
              <w:t>1112 (iš jų vasaros poilsio – 779)</w:t>
            </w:r>
          </w:p>
        </w:tc>
        <w:tc>
          <w:tcPr>
            <w:tcW w:w="1708" w:type="dxa"/>
          </w:tcPr>
          <w:p w:rsidR="00B07158" w:rsidRPr="007C55AF" w:rsidRDefault="00B07158" w:rsidP="000F66A2">
            <w:pPr>
              <w:jc w:val="center"/>
              <w:rPr>
                <w:rFonts w:ascii="Times New Roman" w:hAnsi="Times New Roman" w:cs="Times New Roman"/>
              </w:rPr>
            </w:pPr>
            <w:r>
              <w:rPr>
                <w:rFonts w:ascii="Times New Roman" w:hAnsi="Times New Roman" w:cs="Times New Roman"/>
              </w:rPr>
              <w:t>18,82</w:t>
            </w:r>
          </w:p>
        </w:tc>
        <w:tc>
          <w:tcPr>
            <w:tcW w:w="1075" w:type="dxa"/>
          </w:tcPr>
          <w:p w:rsidR="00B07158" w:rsidRPr="007C55AF" w:rsidRDefault="00B07158" w:rsidP="000F66A2">
            <w:pPr>
              <w:jc w:val="center"/>
              <w:rPr>
                <w:rFonts w:ascii="Times New Roman" w:hAnsi="Times New Roman" w:cs="Times New Roman"/>
              </w:rPr>
            </w:pPr>
            <w:r>
              <w:rPr>
                <w:rFonts w:ascii="Times New Roman" w:hAnsi="Times New Roman" w:cs="Times New Roman"/>
              </w:rPr>
              <w:t>656</w:t>
            </w:r>
          </w:p>
        </w:tc>
      </w:tr>
      <w:tr w:rsidR="00B07158" w:rsidRPr="007C55AF" w:rsidTr="000F66A2">
        <w:tc>
          <w:tcPr>
            <w:tcW w:w="818" w:type="dxa"/>
          </w:tcPr>
          <w:p w:rsidR="00B07158" w:rsidRPr="007C55AF" w:rsidRDefault="00B07158" w:rsidP="000F66A2">
            <w:pPr>
              <w:rPr>
                <w:rFonts w:ascii="Times New Roman" w:hAnsi="Times New Roman" w:cs="Times New Roman"/>
              </w:rPr>
            </w:pPr>
            <w:r w:rsidRPr="007C55AF">
              <w:rPr>
                <w:rFonts w:ascii="Times New Roman" w:hAnsi="Times New Roman" w:cs="Times New Roman"/>
              </w:rPr>
              <w:t>2017</w:t>
            </w:r>
          </w:p>
        </w:tc>
        <w:tc>
          <w:tcPr>
            <w:tcW w:w="1268" w:type="dxa"/>
          </w:tcPr>
          <w:p w:rsidR="00B07158" w:rsidRPr="00776D22" w:rsidRDefault="00B07158" w:rsidP="000F66A2">
            <w:pPr>
              <w:jc w:val="center"/>
              <w:rPr>
                <w:rFonts w:ascii="Times New Roman" w:hAnsi="Times New Roman" w:cs="Times New Roman"/>
              </w:rPr>
            </w:pPr>
            <w:r>
              <w:rPr>
                <w:rFonts w:ascii="Times New Roman" w:hAnsi="Times New Roman" w:cs="Times New Roman"/>
              </w:rPr>
              <w:t>44</w:t>
            </w:r>
          </w:p>
        </w:tc>
        <w:tc>
          <w:tcPr>
            <w:tcW w:w="2643" w:type="dxa"/>
          </w:tcPr>
          <w:p w:rsidR="00B07158" w:rsidRPr="007C55AF" w:rsidRDefault="00B07158" w:rsidP="000F66A2">
            <w:pPr>
              <w:jc w:val="center"/>
              <w:rPr>
                <w:rFonts w:ascii="Times New Roman" w:hAnsi="Times New Roman" w:cs="Times New Roman"/>
              </w:rPr>
            </w:pPr>
            <w:r w:rsidRPr="007C55AF">
              <w:rPr>
                <w:rFonts w:ascii="Times New Roman" w:hAnsi="Times New Roman" w:cs="Times New Roman"/>
              </w:rPr>
              <w:t>26</w:t>
            </w:r>
          </w:p>
        </w:tc>
        <w:tc>
          <w:tcPr>
            <w:tcW w:w="1745" w:type="dxa"/>
          </w:tcPr>
          <w:p w:rsidR="00B07158" w:rsidRPr="007C55AF" w:rsidRDefault="00B07158" w:rsidP="000F66A2">
            <w:pPr>
              <w:jc w:val="center"/>
              <w:rPr>
                <w:rFonts w:ascii="Times New Roman" w:hAnsi="Times New Roman" w:cs="Times New Roman"/>
              </w:rPr>
            </w:pPr>
            <w:r w:rsidRPr="007C55AF">
              <w:rPr>
                <w:rFonts w:ascii="Times New Roman" w:hAnsi="Times New Roman" w:cs="Times New Roman"/>
              </w:rPr>
              <w:t>10</w:t>
            </w:r>
          </w:p>
        </w:tc>
        <w:tc>
          <w:tcPr>
            <w:tcW w:w="1555" w:type="dxa"/>
          </w:tcPr>
          <w:p w:rsidR="00B07158" w:rsidRPr="007C55AF" w:rsidRDefault="00B07158" w:rsidP="000F66A2">
            <w:pPr>
              <w:jc w:val="center"/>
              <w:rPr>
                <w:rFonts w:ascii="Times New Roman" w:hAnsi="Times New Roman" w:cs="Times New Roman"/>
              </w:rPr>
            </w:pPr>
            <w:r w:rsidRPr="007C55AF">
              <w:rPr>
                <w:rFonts w:ascii="Times New Roman" w:hAnsi="Times New Roman" w:cs="Times New Roman"/>
              </w:rPr>
              <w:t>18</w:t>
            </w:r>
          </w:p>
        </w:tc>
        <w:tc>
          <w:tcPr>
            <w:tcW w:w="1141" w:type="dxa"/>
          </w:tcPr>
          <w:p w:rsidR="00B07158" w:rsidRPr="00767924" w:rsidRDefault="00B07158" w:rsidP="000F66A2">
            <w:pPr>
              <w:jc w:val="center"/>
              <w:rPr>
                <w:rFonts w:ascii="Times New Roman" w:hAnsi="Times New Roman" w:cs="Times New Roman"/>
              </w:rPr>
            </w:pPr>
            <w:r w:rsidRPr="00767924">
              <w:rPr>
                <w:rFonts w:ascii="Times New Roman" w:hAnsi="Times New Roman" w:cs="Times New Roman"/>
              </w:rPr>
              <w:t>28,53</w:t>
            </w:r>
          </w:p>
        </w:tc>
        <w:tc>
          <w:tcPr>
            <w:tcW w:w="2024" w:type="dxa"/>
          </w:tcPr>
          <w:p w:rsidR="00B07158" w:rsidRPr="00265BB4" w:rsidRDefault="00B07158" w:rsidP="000F66A2">
            <w:pPr>
              <w:jc w:val="center"/>
              <w:rPr>
                <w:rFonts w:ascii="Times New Roman" w:hAnsi="Times New Roman" w:cs="Times New Roman"/>
              </w:rPr>
            </w:pPr>
            <w:r w:rsidRPr="00265BB4">
              <w:rPr>
                <w:rFonts w:ascii="Times New Roman" w:hAnsi="Times New Roman" w:cs="Times New Roman"/>
              </w:rPr>
              <w:t>920 (iš jų vasaros poilsio – 631)</w:t>
            </w:r>
          </w:p>
        </w:tc>
        <w:tc>
          <w:tcPr>
            <w:tcW w:w="1708" w:type="dxa"/>
          </w:tcPr>
          <w:p w:rsidR="00B07158" w:rsidRPr="00767924" w:rsidRDefault="00B07158" w:rsidP="000F66A2">
            <w:pPr>
              <w:jc w:val="center"/>
              <w:rPr>
                <w:rFonts w:ascii="Times New Roman" w:hAnsi="Times New Roman" w:cs="Times New Roman"/>
              </w:rPr>
            </w:pPr>
            <w:r>
              <w:rPr>
                <w:rFonts w:ascii="Times New Roman" w:hAnsi="Times New Roman" w:cs="Times New Roman"/>
              </w:rPr>
              <w:t>16,11</w:t>
            </w:r>
          </w:p>
        </w:tc>
        <w:tc>
          <w:tcPr>
            <w:tcW w:w="1075" w:type="dxa"/>
          </w:tcPr>
          <w:p w:rsidR="00B07158" w:rsidRPr="00767924" w:rsidRDefault="00B07158" w:rsidP="000F66A2">
            <w:pPr>
              <w:jc w:val="center"/>
              <w:rPr>
                <w:rFonts w:ascii="Times New Roman" w:hAnsi="Times New Roman" w:cs="Times New Roman"/>
              </w:rPr>
            </w:pPr>
            <w:r w:rsidRPr="00767924">
              <w:rPr>
                <w:rFonts w:ascii="Times New Roman" w:hAnsi="Times New Roman" w:cs="Times New Roman"/>
              </w:rPr>
              <w:t>589</w:t>
            </w:r>
          </w:p>
        </w:tc>
      </w:tr>
      <w:tr w:rsidR="00B07158" w:rsidRPr="007C55AF" w:rsidTr="000F66A2">
        <w:trPr>
          <w:trHeight w:val="507"/>
        </w:trPr>
        <w:tc>
          <w:tcPr>
            <w:tcW w:w="818" w:type="dxa"/>
          </w:tcPr>
          <w:p w:rsidR="00B07158" w:rsidRPr="007C55AF" w:rsidRDefault="00B07158" w:rsidP="000F66A2">
            <w:pPr>
              <w:rPr>
                <w:rFonts w:ascii="Times New Roman" w:hAnsi="Times New Roman" w:cs="Times New Roman"/>
              </w:rPr>
            </w:pPr>
            <w:r w:rsidRPr="007C55AF">
              <w:rPr>
                <w:rFonts w:ascii="Times New Roman" w:hAnsi="Times New Roman" w:cs="Times New Roman"/>
              </w:rPr>
              <w:t>2018</w:t>
            </w:r>
          </w:p>
        </w:tc>
        <w:tc>
          <w:tcPr>
            <w:tcW w:w="1268" w:type="dxa"/>
          </w:tcPr>
          <w:p w:rsidR="00B07158" w:rsidRPr="00776D22" w:rsidRDefault="00610623" w:rsidP="000F66A2">
            <w:pPr>
              <w:jc w:val="center"/>
              <w:rPr>
                <w:rFonts w:ascii="Times New Roman" w:hAnsi="Times New Roman" w:cs="Times New Roman"/>
              </w:rPr>
            </w:pPr>
            <w:r>
              <w:rPr>
                <w:rFonts w:ascii="Times New Roman" w:hAnsi="Times New Roman" w:cs="Times New Roman"/>
              </w:rPr>
              <w:t>39</w:t>
            </w:r>
          </w:p>
        </w:tc>
        <w:tc>
          <w:tcPr>
            <w:tcW w:w="2643" w:type="dxa"/>
          </w:tcPr>
          <w:p w:rsidR="00B07158" w:rsidRPr="007C55AF" w:rsidRDefault="00B07158" w:rsidP="000F66A2">
            <w:pPr>
              <w:jc w:val="center"/>
              <w:rPr>
                <w:rFonts w:ascii="Times New Roman" w:hAnsi="Times New Roman" w:cs="Times New Roman"/>
              </w:rPr>
            </w:pPr>
            <w:r w:rsidRPr="007C55AF">
              <w:rPr>
                <w:rFonts w:ascii="Times New Roman" w:hAnsi="Times New Roman" w:cs="Times New Roman"/>
              </w:rPr>
              <w:t>27</w:t>
            </w:r>
            <w:r>
              <w:rPr>
                <w:rFonts w:ascii="Times New Roman" w:hAnsi="Times New Roman" w:cs="Times New Roman"/>
              </w:rPr>
              <w:t xml:space="preserve"> (1 stovyklą organizavo 2 NVO)</w:t>
            </w:r>
          </w:p>
        </w:tc>
        <w:tc>
          <w:tcPr>
            <w:tcW w:w="1745" w:type="dxa"/>
          </w:tcPr>
          <w:p w:rsidR="00B07158" w:rsidRPr="007C55AF" w:rsidRDefault="00B07158" w:rsidP="000F66A2">
            <w:pPr>
              <w:jc w:val="center"/>
              <w:rPr>
                <w:rFonts w:ascii="Times New Roman" w:hAnsi="Times New Roman" w:cs="Times New Roman"/>
              </w:rPr>
            </w:pPr>
            <w:r w:rsidRPr="007C55AF">
              <w:rPr>
                <w:rFonts w:ascii="Times New Roman" w:hAnsi="Times New Roman" w:cs="Times New Roman"/>
              </w:rPr>
              <w:t>9</w:t>
            </w:r>
            <w:r>
              <w:rPr>
                <w:rFonts w:ascii="Times New Roman" w:hAnsi="Times New Roman" w:cs="Times New Roman"/>
              </w:rPr>
              <w:t xml:space="preserve"> (1 stovyklą organizavo 2 NVO)</w:t>
            </w:r>
          </w:p>
        </w:tc>
        <w:tc>
          <w:tcPr>
            <w:tcW w:w="1555" w:type="dxa"/>
          </w:tcPr>
          <w:p w:rsidR="00B07158" w:rsidRPr="007C55AF" w:rsidRDefault="00B07158" w:rsidP="000F66A2">
            <w:pPr>
              <w:jc w:val="center"/>
              <w:rPr>
                <w:rFonts w:ascii="Times New Roman" w:hAnsi="Times New Roman" w:cs="Times New Roman"/>
              </w:rPr>
            </w:pPr>
            <w:r w:rsidRPr="007C55AF">
              <w:rPr>
                <w:rFonts w:ascii="Times New Roman" w:hAnsi="Times New Roman" w:cs="Times New Roman"/>
              </w:rPr>
              <w:t>18</w:t>
            </w:r>
          </w:p>
        </w:tc>
        <w:tc>
          <w:tcPr>
            <w:tcW w:w="1141" w:type="dxa"/>
          </w:tcPr>
          <w:p w:rsidR="00B07158" w:rsidRPr="00767924" w:rsidRDefault="00B07158" w:rsidP="000F66A2">
            <w:pPr>
              <w:jc w:val="center"/>
              <w:rPr>
                <w:rFonts w:ascii="Times New Roman" w:hAnsi="Times New Roman" w:cs="Times New Roman"/>
              </w:rPr>
            </w:pPr>
            <w:r w:rsidRPr="00767924">
              <w:rPr>
                <w:rFonts w:ascii="Times New Roman" w:hAnsi="Times New Roman" w:cs="Times New Roman"/>
              </w:rPr>
              <w:t>28,04</w:t>
            </w:r>
          </w:p>
        </w:tc>
        <w:tc>
          <w:tcPr>
            <w:tcW w:w="2024" w:type="dxa"/>
          </w:tcPr>
          <w:p w:rsidR="00B07158" w:rsidRPr="00265BB4" w:rsidRDefault="00B07158" w:rsidP="000F66A2">
            <w:pPr>
              <w:jc w:val="center"/>
              <w:rPr>
                <w:rFonts w:ascii="Times New Roman" w:hAnsi="Times New Roman" w:cs="Times New Roman"/>
              </w:rPr>
            </w:pPr>
            <w:r w:rsidRPr="00265BB4">
              <w:rPr>
                <w:rFonts w:ascii="Times New Roman" w:hAnsi="Times New Roman" w:cs="Times New Roman"/>
              </w:rPr>
              <w:t>876 (iš jų vasaros poilsio – 642)</w:t>
            </w:r>
          </w:p>
        </w:tc>
        <w:tc>
          <w:tcPr>
            <w:tcW w:w="1708" w:type="dxa"/>
          </w:tcPr>
          <w:p w:rsidR="00B07158" w:rsidRPr="00767924" w:rsidRDefault="00B07158" w:rsidP="000F66A2">
            <w:pPr>
              <w:jc w:val="center"/>
              <w:rPr>
                <w:rFonts w:ascii="Times New Roman" w:hAnsi="Times New Roman" w:cs="Times New Roman"/>
              </w:rPr>
            </w:pPr>
            <w:r>
              <w:rPr>
                <w:rFonts w:ascii="Times New Roman" w:hAnsi="Times New Roman" w:cs="Times New Roman"/>
              </w:rPr>
              <w:t>15,74</w:t>
            </w:r>
          </w:p>
        </w:tc>
        <w:tc>
          <w:tcPr>
            <w:tcW w:w="1075" w:type="dxa"/>
          </w:tcPr>
          <w:p w:rsidR="00B07158" w:rsidRPr="00767924" w:rsidRDefault="00B07158" w:rsidP="000F66A2">
            <w:pPr>
              <w:jc w:val="center"/>
              <w:rPr>
                <w:rFonts w:ascii="Times New Roman" w:hAnsi="Times New Roman" w:cs="Times New Roman"/>
              </w:rPr>
            </w:pPr>
            <w:r w:rsidRPr="00767924">
              <w:rPr>
                <w:rFonts w:ascii="Times New Roman" w:hAnsi="Times New Roman" w:cs="Times New Roman"/>
              </w:rPr>
              <w:t>488</w:t>
            </w:r>
          </w:p>
        </w:tc>
      </w:tr>
    </w:tbl>
    <w:p w:rsidR="00B07158" w:rsidRPr="002C3C06" w:rsidRDefault="00B07158" w:rsidP="00B07158">
      <w:pPr>
        <w:spacing w:after="0"/>
        <w:rPr>
          <w:rFonts w:cs="Times New Roman"/>
          <w:sz w:val="20"/>
          <w:szCs w:val="20"/>
        </w:rPr>
      </w:pPr>
      <w:r w:rsidRPr="002C3C06">
        <w:rPr>
          <w:rFonts w:eastAsia="Times New Roman" w:cs="Times New Roman"/>
          <w:i/>
          <w:sz w:val="20"/>
          <w:szCs w:val="20"/>
          <w:lang w:eastAsia="lt-LT"/>
        </w:rPr>
        <w:t xml:space="preserve">Duomenų šaltinis: Švietimo ir </w:t>
      </w:r>
      <w:r>
        <w:rPr>
          <w:rFonts w:eastAsia="Times New Roman" w:cs="Times New Roman"/>
          <w:i/>
          <w:sz w:val="20"/>
          <w:szCs w:val="20"/>
          <w:lang w:eastAsia="lt-LT"/>
        </w:rPr>
        <w:t>kultūros s</w:t>
      </w:r>
      <w:r w:rsidRPr="002C3C06">
        <w:rPr>
          <w:rFonts w:eastAsia="Times New Roman" w:cs="Times New Roman"/>
          <w:i/>
          <w:sz w:val="20"/>
          <w:szCs w:val="20"/>
          <w:lang w:eastAsia="lt-LT"/>
        </w:rPr>
        <w:t>kyrius</w:t>
      </w:r>
    </w:p>
    <w:p w:rsidR="00B07158" w:rsidRDefault="00B07158" w:rsidP="00B07158">
      <w:pPr>
        <w:spacing w:after="0"/>
        <w:jc w:val="both"/>
        <w:rPr>
          <w:rFonts w:cs="Times New Roman"/>
          <w:szCs w:val="24"/>
        </w:rPr>
      </w:pPr>
    </w:p>
    <w:p w:rsidR="00B07158" w:rsidRDefault="00B07158" w:rsidP="00B07158">
      <w:pPr>
        <w:spacing w:after="0"/>
        <w:ind w:firstLine="851"/>
        <w:jc w:val="both"/>
      </w:pPr>
      <w:r>
        <w:t xml:space="preserve">Bendrojo ugdymo mokyklose mokinių kasmet mažėja: nuo 5908 mokinių (2015 m. rugsėjo 1 d.) iki 5566 (2017 m. rugsėjo 1 d.), todėl natūraliai kinta ir stovyklų, ir jose dalyvaujančiųjų skaičiai. Tačiau vaikų vasaros poilsio ir užimtumo stovykloms lėšų suma iš rajono savivaldybės biudžeto palaipsniui didėja: 2016 m. buvo skirta 16 tūkst. Eur, 2017 ir 2018 m. – po </w:t>
      </w:r>
      <w:r w:rsidRPr="009F52DF">
        <w:t>1</w:t>
      </w:r>
      <w:r>
        <w:t>8</w:t>
      </w:r>
      <w:r w:rsidRPr="009F52DF">
        <w:t xml:space="preserve"> tūkst. Eur</w:t>
      </w:r>
      <w:r>
        <w:t xml:space="preserve"> (12,5 proc. daugiau nei 2016 m.). Šalyje augant paslaugų kainoms, didėja ir vieno mokinio išlaikymas vaikų vasaros poilsio ir užimtumo stovykloje: 2016 m. 1 stovyklautojui buvo daugmaž skirta 20 Eur, tai 2017 ir 2018 m. – apie 28 Eur (40</w:t>
      </w:r>
      <w:bookmarkStart w:id="8" w:name="_GoBack"/>
      <w:bookmarkEnd w:id="8"/>
      <w:r>
        <w:t xml:space="preserve"> proc. daugiau nei 2016 m.). Taigi 1 vaiko 1 diena stovykloje daugmaž padidėjo nuo 4 Eur iki 5,6 Eur. </w:t>
      </w:r>
    </w:p>
    <w:p w:rsidR="00B07158" w:rsidRDefault="00B07158" w:rsidP="00B07158">
      <w:pPr>
        <w:spacing w:after="0"/>
        <w:ind w:firstLine="851"/>
        <w:jc w:val="both"/>
      </w:pPr>
      <w:r>
        <w:t>2018 m. vaikų vasaros poilsio ir užimtumo stovyklų finansuota 27</w:t>
      </w:r>
      <w:r w:rsidRPr="00285101">
        <w:t xml:space="preserve"> </w:t>
      </w:r>
      <w:r>
        <w:t>programos, iš jų 5 – nevyriausybinės organizacijos (toliau – NVO; 1 programą rengė 2 NVO, taigi iš tikrųjų 6 institucijos finansuotos), tačiau iš 18 tūkst. eurų NVO-oms skirta 5730 Eur (31,93 proc.). Dar nefinansuotos 4 NVO stovyklos, kurioms reikėtų 10.276 Eur (57,09 proc. visų turimų lėšų), bet būtų tenkinami tik 125 vaikų poreikiai (19.47 proc. visų dalyvavusiųjų). Išties pinigine išraiška laimi NVO, nes biudžetinės įstaigos (kurios organizavo 81,48 proc. stovyklų) tenkinasi kuklesniais poreikiais (joms 2018 m. skirta 68,07 proc. lėšų). 2017 m. NVO stovykloms buvo skirta 40,5 proc. lėšų (nors jų stovyklų buvo trečdalis).</w:t>
      </w:r>
    </w:p>
    <w:p w:rsidR="00B07158" w:rsidRPr="00210C15" w:rsidRDefault="00B07158" w:rsidP="00B07158">
      <w:pPr>
        <w:spacing w:after="0"/>
        <w:ind w:firstLine="851"/>
        <w:jc w:val="both"/>
      </w:pPr>
      <w:r>
        <w:t xml:space="preserve">Palyginus su 2016 m., gausėja stacionarių (su laikinu apgyvendinimu) stovyklų poreikis, 2018 m. tokių stovyklų tipų buvo 24,32 proc. Tačiau šalies mastu neišspręsta, kiek </w:t>
      </w:r>
      <w:r w:rsidRPr="00210C15">
        <w:t xml:space="preserve">vaikų maitinimui </w:t>
      </w:r>
      <w:r w:rsidR="007C62ED" w:rsidRPr="00210C15">
        <w:t xml:space="preserve">(gal net ir pagal vaikų amžiaus grupes) </w:t>
      </w:r>
      <w:r w:rsidRPr="00210C15">
        <w:t>reikėtų skirti lėšų – stacionarioje stovyklose 1 vaikui per dieną teskiriama 3,80 Eur. Todėl stovyklų organizatoriai turi pasirūpinti kitais lėšų šaltiniais.</w:t>
      </w:r>
    </w:p>
    <w:p w:rsidR="00B07158" w:rsidRPr="00210C15" w:rsidRDefault="00B07158" w:rsidP="00B07158">
      <w:pPr>
        <w:spacing w:after="0"/>
        <w:ind w:firstLine="851"/>
        <w:jc w:val="both"/>
      </w:pPr>
      <w:r w:rsidRPr="00210C15">
        <w:lastRenderedPageBreak/>
        <w:t>Viena organizuojama stovykla (viena pamaina) mažiausiai trunka 5 dienas. Per vieną vasaros stovyklą (pamainą) veiklose dalyvauja nuo 12 iki 36 vaikų. Norinčiųjų dalyvauti nemokamose stovyklose yra daugiau, nei priimta, tačiau dalyvių skaičių riboja skiriamos lėšos. Vienas vaikų vasaros poilsio ir užimtumo konkurso prioritetų – kiek stovyklos veiklose dalyvauja socialiai remtinų vaikų, tokių vaikų kasmet būna daugiau nei 50 proc.</w:t>
      </w:r>
    </w:p>
    <w:p w:rsidR="00B07158" w:rsidRPr="00210C15" w:rsidRDefault="00B07158" w:rsidP="00E350DE">
      <w:pPr>
        <w:spacing w:after="0"/>
        <w:ind w:firstLine="851"/>
        <w:jc w:val="both"/>
      </w:pPr>
      <w:r w:rsidRPr="00210C15">
        <w:t>Vienas vaikų vasaros poilsio ir užimtumo konkurso prioritetų – kiek stovyklos veiklose dalyvauja pedagoginių specialybių studentų, tokių 2016 ir 2017 m. buvo po 1, 2018 m. – 2. Tačiau tokių studentų veikla yra savanoriška, neapmokama už darbą ir kelionę, tik pamaitinami.</w:t>
      </w:r>
    </w:p>
    <w:p w:rsidR="008324C1" w:rsidRPr="00210C15" w:rsidRDefault="00B07158" w:rsidP="00DE1D03">
      <w:pPr>
        <w:spacing w:after="0"/>
        <w:ind w:firstLine="851"/>
        <w:jc w:val="both"/>
      </w:pPr>
      <w:r w:rsidRPr="00210C15">
        <w:t>Per trejus metus tradiciškai dominuoja sporto, kūrybinės ir etninė kryptys (ar tų veiklų elementai). Stovyklos dalyvauja Švietimo ir mokslo ministerijos organizuotoje akcijoje „Atverk duris vasarai“; Kėdainių kultūros centro „Teatrinės vasaros stovyklos“ programa trečius metus pripažinta kaip viena geriausių šalyje.</w:t>
      </w:r>
    </w:p>
    <w:p w:rsidR="00DE1D03" w:rsidRPr="00210C15" w:rsidRDefault="00DE1D03" w:rsidP="00DE1D03">
      <w:pPr>
        <w:spacing w:after="0"/>
        <w:ind w:firstLine="851"/>
        <w:jc w:val="both"/>
      </w:pPr>
    </w:p>
    <w:p w:rsidR="00DE1D03" w:rsidRPr="00210C15" w:rsidRDefault="003268F9" w:rsidP="00DE1D03">
      <w:pPr>
        <w:spacing w:after="0"/>
        <w:ind w:firstLine="851"/>
        <w:jc w:val="both"/>
        <w:rPr>
          <w:szCs w:val="24"/>
        </w:rPr>
      </w:pPr>
      <w:r w:rsidRPr="00210C15">
        <w:rPr>
          <w:szCs w:val="24"/>
        </w:rPr>
        <w:t>Tarp</w:t>
      </w:r>
      <w:r w:rsidR="00DE1D03" w:rsidRPr="00210C15">
        <w:rPr>
          <w:szCs w:val="24"/>
        </w:rPr>
        <w:t xml:space="preserve"> NVŠ teikėjų </w:t>
      </w:r>
      <w:r w:rsidR="00C13A9E" w:rsidRPr="00210C15">
        <w:rPr>
          <w:szCs w:val="24"/>
        </w:rPr>
        <w:t>uždavinių</w:t>
      </w:r>
      <w:r w:rsidR="00B13644" w:rsidRPr="00210C15">
        <w:rPr>
          <w:szCs w:val="24"/>
        </w:rPr>
        <w:t xml:space="preserve"> – </w:t>
      </w:r>
      <w:r w:rsidR="00210C15" w:rsidRPr="00210C15">
        <w:rPr>
          <w:szCs w:val="24"/>
          <w:lang w:eastAsia="lt-LT"/>
        </w:rPr>
        <w:t xml:space="preserve">tobulinti neformaliojo švietimo sistemą, užtikrinti neformaliojo </w:t>
      </w:r>
      <w:r w:rsidR="00210C15" w:rsidRPr="00210C15">
        <w:rPr>
          <w:szCs w:val="24"/>
        </w:rPr>
        <w:t xml:space="preserve">švietimo kokybę, </w:t>
      </w:r>
      <w:r w:rsidRPr="00210C15">
        <w:rPr>
          <w:szCs w:val="24"/>
        </w:rPr>
        <w:t xml:space="preserve">sistemingai </w:t>
      </w:r>
      <w:r w:rsidR="00210C15" w:rsidRPr="00210C15">
        <w:rPr>
          <w:szCs w:val="24"/>
        </w:rPr>
        <w:t xml:space="preserve">stebėti, </w:t>
      </w:r>
      <w:r w:rsidRPr="00210C15">
        <w:rPr>
          <w:szCs w:val="24"/>
        </w:rPr>
        <w:t xml:space="preserve">vertinti neformaliojo švietimo plėtrą ir rezultatyvumą, </w:t>
      </w:r>
      <w:r w:rsidR="00C13A9E" w:rsidRPr="00210C15">
        <w:rPr>
          <w:szCs w:val="24"/>
        </w:rPr>
        <w:t>u</w:t>
      </w:r>
      <w:r w:rsidR="00C13A9E" w:rsidRPr="00210C15">
        <w:rPr>
          <w:szCs w:val="24"/>
          <w:lang w:eastAsia="lt-LT"/>
        </w:rPr>
        <w:t>žtikrinti sklandžią ir kokybišką neformaliojo švietimo veiklos plėtrą</w:t>
      </w:r>
      <w:r w:rsidR="00B13644" w:rsidRPr="00210C15">
        <w:rPr>
          <w:szCs w:val="24"/>
          <w:lang w:eastAsia="lt-LT"/>
        </w:rPr>
        <w:t xml:space="preserve">, </w:t>
      </w:r>
      <w:r w:rsidR="00B13644" w:rsidRPr="00210C15">
        <w:rPr>
          <w:szCs w:val="24"/>
        </w:rPr>
        <w:t>užtikrinti neformaliojo švietimo p</w:t>
      </w:r>
      <w:r w:rsidRPr="00210C15">
        <w:rPr>
          <w:szCs w:val="24"/>
        </w:rPr>
        <w:t>r</w:t>
      </w:r>
      <w:r w:rsidR="00B13644" w:rsidRPr="00210C15">
        <w:rPr>
          <w:szCs w:val="24"/>
        </w:rPr>
        <w:t xml:space="preserve">ogramų pasiūlą ir paklausą, </w:t>
      </w:r>
      <w:r w:rsidRPr="00210C15">
        <w:rPr>
          <w:szCs w:val="24"/>
          <w:lang w:eastAsia="lt-LT"/>
        </w:rPr>
        <w:t>kurti bendrojo ugdymo ir neformaliojo švietimo programų dermę</w:t>
      </w:r>
      <w:r w:rsidR="00210C15" w:rsidRPr="00210C15">
        <w:rPr>
          <w:szCs w:val="24"/>
          <w:lang w:eastAsia="lt-LT"/>
        </w:rPr>
        <w:t xml:space="preserve"> ir nuoseklumą (pagal ugdymo pakopų paskirtį)</w:t>
      </w:r>
      <w:r w:rsidR="00C13A9E" w:rsidRPr="00210C15">
        <w:rPr>
          <w:szCs w:val="24"/>
          <w:lang w:eastAsia="lt-LT"/>
        </w:rPr>
        <w:t>.</w:t>
      </w:r>
      <w:r w:rsidR="00210C15" w:rsidRPr="00210C15">
        <w:rPr>
          <w:szCs w:val="24"/>
          <w:lang w:eastAsia="lt-LT"/>
        </w:rPr>
        <w:t xml:space="preserve"> Nacionaliniu lygmeniu reikia atnaujinti arba parengti pagal kryptis rekomendacijas neformaliojo švietimo mokykloms, sutvarkyti neformaliojo švietimo išorės vertinimo sistemą, specialias valstybės lėšas turtinant tų mokyklų ugdymo aplinkas, galbūt ir apie finansavimo modelį. </w:t>
      </w:r>
    </w:p>
    <w:p w:rsidR="00DE1D03" w:rsidRPr="00210C15" w:rsidRDefault="00DE1D03" w:rsidP="00DE1D03">
      <w:pPr>
        <w:spacing w:after="0"/>
        <w:ind w:firstLine="851"/>
        <w:jc w:val="both"/>
      </w:pPr>
    </w:p>
    <w:p w:rsidR="003B6345" w:rsidRPr="00210C15" w:rsidRDefault="003B6345" w:rsidP="00B07158"/>
    <w:p w:rsidR="003B6345" w:rsidRDefault="003B6345" w:rsidP="00B07158">
      <w:r>
        <w:t>Parengė Rytas Tamašauskas</w:t>
      </w:r>
      <w:r w:rsidR="00072A7A">
        <w:t xml:space="preserve"> 2018-12-20</w:t>
      </w:r>
      <w:r w:rsidR="00210C15">
        <w:t>, papildyta 2019-01-23</w:t>
      </w:r>
    </w:p>
    <w:p w:rsidR="003B6345" w:rsidRDefault="003B6345" w:rsidP="00B07158"/>
    <w:sectPr w:rsidR="003B6345" w:rsidSect="00944E8D">
      <w:pgSz w:w="16838" w:h="11906" w:orient="landscape"/>
      <w:pgMar w:top="1134"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D5A" w:rsidRDefault="00916D5A" w:rsidP="00B07158">
      <w:pPr>
        <w:spacing w:after="0" w:line="240" w:lineRule="auto"/>
      </w:pPr>
      <w:r>
        <w:separator/>
      </w:r>
    </w:p>
  </w:endnote>
  <w:endnote w:type="continuationSeparator" w:id="0">
    <w:p w:rsidR="00916D5A" w:rsidRDefault="00916D5A" w:rsidP="00B07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D5A" w:rsidRDefault="00916D5A" w:rsidP="00B07158">
      <w:pPr>
        <w:spacing w:after="0" w:line="240" w:lineRule="auto"/>
      </w:pPr>
      <w:r>
        <w:separator/>
      </w:r>
    </w:p>
  </w:footnote>
  <w:footnote w:type="continuationSeparator" w:id="0">
    <w:p w:rsidR="00916D5A" w:rsidRDefault="00916D5A" w:rsidP="00B07158">
      <w:pPr>
        <w:spacing w:after="0" w:line="240" w:lineRule="auto"/>
      </w:pPr>
      <w:r>
        <w:continuationSeparator/>
      </w:r>
    </w:p>
  </w:footnote>
  <w:footnote w:id="1">
    <w:p w:rsidR="00B07158" w:rsidRDefault="00B07158" w:rsidP="00B07158">
      <w:pPr>
        <w:pStyle w:val="FootnoteText"/>
      </w:pPr>
      <w:r>
        <w:rPr>
          <w:rStyle w:val="FootnoteReference"/>
        </w:rPr>
        <w:footnoteRef/>
      </w:r>
      <w:r>
        <w:t xml:space="preserve"> Kartais mokiniai bendrojo ugdymo mokyklose lanko kelis būrelius.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158"/>
    <w:rsid w:val="00060DD7"/>
    <w:rsid w:val="000652C4"/>
    <w:rsid w:val="00067581"/>
    <w:rsid w:val="00072A7A"/>
    <w:rsid w:val="000A72A2"/>
    <w:rsid w:val="00154857"/>
    <w:rsid w:val="001A432A"/>
    <w:rsid w:val="001B7F97"/>
    <w:rsid w:val="001D43F2"/>
    <w:rsid w:val="001D5D8C"/>
    <w:rsid w:val="00210C15"/>
    <w:rsid w:val="00216C5A"/>
    <w:rsid w:val="002322A9"/>
    <w:rsid w:val="00267266"/>
    <w:rsid w:val="00297E7B"/>
    <w:rsid w:val="003268F9"/>
    <w:rsid w:val="00342290"/>
    <w:rsid w:val="00370822"/>
    <w:rsid w:val="0037273F"/>
    <w:rsid w:val="00384CB1"/>
    <w:rsid w:val="003A0F22"/>
    <w:rsid w:val="003B6345"/>
    <w:rsid w:val="00401AE0"/>
    <w:rsid w:val="00477E2D"/>
    <w:rsid w:val="004A4686"/>
    <w:rsid w:val="00505EC3"/>
    <w:rsid w:val="00524AE7"/>
    <w:rsid w:val="00610623"/>
    <w:rsid w:val="00685246"/>
    <w:rsid w:val="006D1E51"/>
    <w:rsid w:val="006F41C8"/>
    <w:rsid w:val="006F4FBC"/>
    <w:rsid w:val="0072706B"/>
    <w:rsid w:val="00731E8E"/>
    <w:rsid w:val="00760D73"/>
    <w:rsid w:val="00775F53"/>
    <w:rsid w:val="00785F5C"/>
    <w:rsid w:val="007C62ED"/>
    <w:rsid w:val="008148BB"/>
    <w:rsid w:val="00830842"/>
    <w:rsid w:val="008324C1"/>
    <w:rsid w:val="00855C17"/>
    <w:rsid w:val="008B0791"/>
    <w:rsid w:val="008C0751"/>
    <w:rsid w:val="00916D5A"/>
    <w:rsid w:val="00944A63"/>
    <w:rsid w:val="00944E8D"/>
    <w:rsid w:val="00984B91"/>
    <w:rsid w:val="00A44E67"/>
    <w:rsid w:val="00AC0699"/>
    <w:rsid w:val="00AF4238"/>
    <w:rsid w:val="00B07158"/>
    <w:rsid w:val="00B13644"/>
    <w:rsid w:val="00B516CB"/>
    <w:rsid w:val="00B64FCB"/>
    <w:rsid w:val="00B82A9D"/>
    <w:rsid w:val="00C13A9E"/>
    <w:rsid w:val="00C30703"/>
    <w:rsid w:val="00C65E3C"/>
    <w:rsid w:val="00CB1D95"/>
    <w:rsid w:val="00CD42B2"/>
    <w:rsid w:val="00D066A4"/>
    <w:rsid w:val="00D334BF"/>
    <w:rsid w:val="00D6113A"/>
    <w:rsid w:val="00D9717F"/>
    <w:rsid w:val="00DA064B"/>
    <w:rsid w:val="00DD4145"/>
    <w:rsid w:val="00DE1D03"/>
    <w:rsid w:val="00DF0FF9"/>
    <w:rsid w:val="00E060A8"/>
    <w:rsid w:val="00E13C09"/>
    <w:rsid w:val="00E350DE"/>
    <w:rsid w:val="00E74018"/>
    <w:rsid w:val="00E765E4"/>
    <w:rsid w:val="00E810B1"/>
    <w:rsid w:val="00F27BB1"/>
    <w:rsid w:val="00F412A1"/>
    <w:rsid w:val="00F43052"/>
    <w:rsid w:val="00F66E6B"/>
    <w:rsid w:val="00F80C23"/>
    <w:rsid w:val="00FA6297"/>
    <w:rsid w:val="00FC30BB"/>
    <w:rsid w:val="00FF1F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17F6D-A7E2-41B9-B444-1CE27C67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1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715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071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158"/>
    <w:rPr>
      <w:sz w:val="20"/>
      <w:szCs w:val="20"/>
    </w:rPr>
  </w:style>
  <w:style w:type="character" w:styleId="FootnoteReference">
    <w:name w:val="footnote reference"/>
    <w:basedOn w:val="DefaultParagraphFont"/>
    <w:uiPriority w:val="99"/>
    <w:semiHidden/>
    <w:unhideWhenUsed/>
    <w:rsid w:val="00B07158"/>
    <w:rPr>
      <w:vertAlign w:val="superscript"/>
    </w:rPr>
  </w:style>
  <w:style w:type="character" w:styleId="Hyperlink">
    <w:name w:val="Hyperlink"/>
    <w:basedOn w:val="DefaultParagraphFont"/>
    <w:uiPriority w:val="99"/>
    <w:unhideWhenUsed/>
    <w:rsid w:val="00B071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41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edainiai.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20061</Words>
  <Characters>11436</Characters>
  <Application>Microsoft Office Word</Application>
  <DocSecurity>0</DocSecurity>
  <Lines>95</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Administratorius</cp:lastModifiedBy>
  <cp:revision>2</cp:revision>
  <dcterms:created xsi:type="dcterms:W3CDTF">2019-04-15T12:36:00Z</dcterms:created>
  <dcterms:modified xsi:type="dcterms:W3CDTF">2019-04-15T12:36:00Z</dcterms:modified>
</cp:coreProperties>
</file>