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04A8D" w14:textId="77777777" w:rsidR="00045981" w:rsidRPr="00C10EAB" w:rsidRDefault="00045981" w:rsidP="0004598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0"/>
          <w:lang w:eastAsia="ar-SA"/>
        </w:rPr>
      </w:pPr>
      <w:r w:rsidRPr="00C10EAB">
        <w:rPr>
          <w:rFonts w:ascii="Times New Roman" w:eastAsia="Lucida Sans Unicode" w:hAnsi="Times New Roman" w:cs="Times New Roman"/>
          <w:sz w:val="24"/>
          <w:szCs w:val="20"/>
          <w:lang w:eastAsia="ar-SA"/>
        </w:rPr>
        <w:object w:dxaOrig="1345" w:dyaOrig="672" w14:anchorId="190AEA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670065476" r:id="rId6"/>
        </w:object>
      </w:r>
    </w:p>
    <w:p w14:paraId="2698CF80" w14:textId="77777777" w:rsidR="00045981" w:rsidRPr="00C10EAB" w:rsidRDefault="00045981" w:rsidP="0004598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0"/>
          <w:lang w:eastAsia="ar-SA"/>
        </w:rPr>
      </w:pPr>
    </w:p>
    <w:p w14:paraId="4F5D37E4" w14:textId="77777777" w:rsidR="00045981" w:rsidRPr="00C10EAB" w:rsidRDefault="00045981" w:rsidP="0004598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C10EAB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KĖDAINIŲ RAJONO SAVIVALDYBĖS TARYBA</w:t>
      </w:r>
    </w:p>
    <w:p w14:paraId="4636103A" w14:textId="77777777" w:rsidR="00045981" w:rsidRPr="00C10EAB" w:rsidRDefault="00045981" w:rsidP="0004598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23195837" w14:textId="77777777" w:rsidR="00045981" w:rsidRPr="00C10EAB" w:rsidRDefault="00045981" w:rsidP="0004598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C10EA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SPRENDIMAS</w:t>
      </w:r>
    </w:p>
    <w:p w14:paraId="1E59F2F9" w14:textId="47324DE9" w:rsidR="00045981" w:rsidRPr="00C10EAB" w:rsidRDefault="00045981" w:rsidP="00045981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</w:pPr>
      <w:r w:rsidRPr="00C10EAB"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 xml:space="preserve">Dėl Kėdainių rajono savivaldybės tarybos </w:t>
      </w:r>
      <w:r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>2019</w:t>
      </w:r>
      <w:r w:rsidRPr="00C10EAB"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>GEGUŽĖS</w:t>
      </w:r>
      <w:r w:rsidRPr="00C10EAB"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>17</w:t>
      </w:r>
      <w:r w:rsidRPr="00C10EAB"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 xml:space="preserve"> d. sprendimO Nr. TS-</w:t>
      </w:r>
      <w:r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>88</w:t>
      </w:r>
      <w:r w:rsidRPr="00C10EAB"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 xml:space="preserve"> „Dėl </w:t>
      </w:r>
      <w:r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 xml:space="preserve">VIENKARTINĖS PINIGINĖS SOCIALINĖS PARAMOS IR KOMPENSACIJŲ SKYRIMO </w:t>
      </w:r>
      <w:r w:rsidRPr="00C10EAB"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>tvarkos</w:t>
      </w:r>
      <w:r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 xml:space="preserve"> aprašo</w:t>
      </w:r>
      <w:r w:rsidRPr="00C10EAB"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>PA</w:t>
      </w:r>
      <w:r w:rsidRPr="00C10EAB">
        <w:rPr>
          <w:rFonts w:ascii="Times New Roman" w:eastAsia="Lucida Sans Unicode" w:hAnsi="Times New Roman" w:cs="Arial"/>
          <w:b/>
          <w:bCs/>
          <w:caps/>
          <w:sz w:val="24"/>
          <w:szCs w:val="24"/>
          <w:lang w:eastAsia="ar-SA"/>
        </w:rPr>
        <w:t>tvirtinimo“ pakeitimo</w:t>
      </w:r>
    </w:p>
    <w:p w14:paraId="7BCB0EBF" w14:textId="77777777" w:rsidR="00045981" w:rsidRPr="00C10EAB" w:rsidRDefault="00045981" w:rsidP="00045981">
      <w:pPr>
        <w:widowControl w:val="0"/>
        <w:suppressAutoHyphens/>
        <w:spacing w:after="0" w:line="200" w:lineRule="atLeast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3801C2DA" w14:textId="21837A08" w:rsidR="00045981" w:rsidRPr="00C10EAB" w:rsidRDefault="00045981" w:rsidP="00045981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2020 m. </w:t>
      </w:r>
      <w:r w:rsidR="00086C7F">
        <w:rPr>
          <w:rFonts w:ascii="Times New Roman" w:eastAsia="Lucida Sans Unicode" w:hAnsi="Times New Roman" w:cs="Times New Roman"/>
          <w:sz w:val="24"/>
          <w:szCs w:val="24"/>
          <w:lang w:eastAsia="ar-SA"/>
        </w:rPr>
        <w:t>gruodžio 18</w:t>
      </w: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d. Nr. </w:t>
      </w:r>
      <w:r w:rsidR="00086C7F">
        <w:rPr>
          <w:rFonts w:ascii="Times New Roman" w:eastAsia="Lucida Sans Unicode" w:hAnsi="Times New Roman" w:cs="Times New Roman"/>
          <w:sz w:val="24"/>
          <w:szCs w:val="24"/>
          <w:lang w:eastAsia="ar-SA"/>
        </w:rPr>
        <w:t>TS-297</w:t>
      </w:r>
    </w:p>
    <w:p w14:paraId="369CFCA3" w14:textId="77777777" w:rsidR="00045981" w:rsidRPr="00C10EAB" w:rsidRDefault="00045981" w:rsidP="0004598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0"/>
          <w:lang w:eastAsia="ar-SA"/>
        </w:rPr>
      </w:pP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>Kėdainiai</w:t>
      </w:r>
    </w:p>
    <w:p w14:paraId="3F94D215" w14:textId="77777777" w:rsidR="00045981" w:rsidRPr="00C10EAB" w:rsidRDefault="00045981" w:rsidP="0004598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Cs w:val="20"/>
          <w:lang w:eastAsia="ar-SA"/>
        </w:rPr>
      </w:pPr>
    </w:p>
    <w:p w14:paraId="4B4C3370" w14:textId="77777777" w:rsidR="00045981" w:rsidRPr="00C10EAB" w:rsidRDefault="00045981" w:rsidP="00045981">
      <w:pPr>
        <w:widowControl w:val="0"/>
        <w:suppressAutoHyphens/>
        <w:overflowPunct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0"/>
          <w:lang w:eastAsia="ar-SA"/>
        </w:rPr>
      </w:pP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>Vadovaudamasi Lietuvos Respublikos vietos savivaldos įstatymo 18 straipsnio 1 dalimi, Kėdainių rajono savivaldybės taryba n u s p r e n d ž i a :</w:t>
      </w:r>
    </w:p>
    <w:p w14:paraId="455E384A" w14:textId="6AA996D7" w:rsidR="00045981" w:rsidRPr="00C10EAB" w:rsidRDefault="00045981" w:rsidP="00045981">
      <w:pPr>
        <w:widowControl w:val="0"/>
        <w:tabs>
          <w:tab w:val="left" w:pos="1122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Pakeisti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Vienkartinės piniginės socialinės paramos ir kompensacijų skyrimo</w:t>
      </w:r>
      <w:r w:rsidRPr="00237456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tvarkos </w:t>
      </w:r>
      <w:r w:rsidRPr="00237456">
        <w:rPr>
          <w:rFonts w:ascii="Times New Roman" w:eastAsia="Lucida Sans Unicode" w:hAnsi="Times New Roman" w:cs="Times New Roman"/>
          <w:sz w:val="24"/>
          <w:szCs w:val="24"/>
          <w:lang w:eastAsia="ar-SA"/>
        </w:rPr>
        <w:t>aprašą</w:t>
      </w: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>, patvirtint</w:t>
      </w:r>
      <w:r w:rsidRPr="00237456">
        <w:rPr>
          <w:rFonts w:ascii="Times New Roman" w:eastAsia="Lucida Sans Unicode" w:hAnsi="Times New Roman" w:cs="Times New Roman"/>
          <w:sz w:val="24"/>
          <w:szCs w:val="24"/>
          <w:lang w:eastAsia="ar-SA"/>
        </w:rPr>
        <w:t>ą</w:t>
      </w: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Kėdainių rajono savivaldybės tarybos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2019</w:t>
      </w: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gegužės</w:t>
      </w: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17</w:t>
      </w: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d. sprendimu Nr. TS-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88</w:t>
      </w: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„Dėl </w:t>
      </w:r>
      <w:r w:rsidR="00790E52" w:rsidRPr="0080280A">
        <w:rPr>
          <w:rFonts w:ascii="Times New Roman" w:eastAsia="Lucida Sans Unicode" w:hAnsi="Times New Roman" w:cs="Times New Roman"/>
          <w:sz w:val="24"/>
          <w:szCs w:val="24"/>
          <w:lang w:eastAsia="ar-SA"/>
        </w:rPr>
        <w:t>V</w:t>
      </w:r>
      <w:r w:rsidR="0046506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ienkartinės piniginės socialinės paramos ir kompensacijų skyrimo </w:t>
      </w: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tvarkos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aprašo</w:t>
      </w: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tvirtinimo“:</w:t>
      </w:r>
    </w:p>
    <w:p w14:paraId="4AA2383D" w14:textId="7A6BDD44" w:rsidR="00045981" w:rsidRDefault="00045981" w:rsidP="00045981">
      <w:pPr>
        <w:widowControl w:val="0"/>
        <w:tabs>
          <w:tab w:val="left" w:pos="748"/>
          <w:tab w:val="left" w:pos="112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1.</w:t>
      </w:r>
      <w:r w:rsidRPr="00C10EA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Papildyti </w:t>
      </w:r>
      <w:r w:rsidRPr="00237456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nauju </w:t>
      </w:r>
      <w:r w:rsidR="00BE0521">
        <w:rPr>
          <w:rFonts w:ascii="Times New Roman" w:eastAsia="Lucida Sans Unicode" w:hAnsi="Times New Roman" w:cs="Times New Roman"/>
          <w:sz w:val="24"/>
          <w:szCs w:val="24"/>
          <w:lang w:eastAsia="ar-SA"/>
        </w:rPr>
        <w:t>5.5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papunkčiu:</w:t>
      </w:r>
    </w:p>
    <w:p w14:paraId="4C544F55" w14:textId="12C28AD3" w:rsidR="00045981" w:rsidRPr="0006110C" w:rsidRDefault="00045981" w:rsidP="00045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  <w:t>„</w:t>
      </w:r>
      <w:r w:rsidR="0046506B">
        <w:rPr>
          <w:rFonts w:ascii="Times New Roman" w:eastAsia="Times New Roman" w:hAnsi="Times New Roman" w:cs="Times New Roman"/>
          <w:sz w:val="24"/>
          <w:szCs w:val="20"/>
        </w:rPr>
        <w:t>5.5</w:t>
      </w:r>
      <w:r w:rsidRPr="00EE54CF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46506B" w:rsidRPr="005A27BC">
        <w:rPr>
          <w:rFonts w:ascii="Times New Roman" w:eastAsia="Times New Roman" w:hAnsi="Times New Roman" w:cs="Times New Roman"/>
          <w:color w:val="000000"/>
          <w:sz w:val="24"/>
          <w:szCs w:val="24"/>
        </w:rPr>
        <w:t>sanitarinių įrenginių, buitinių valymo įrenginių, vandentiekio įrenginių ir jo įvadų, nuotekų įrenginių ir įvado prijungimo prie buitinių nuotekų tinklo išlaidoms iš dalies kompensuoti</w:t>
      </w:r>
      <w:r w:rsidR="0046506B">
        <w:rPr>
          <w:rFonts w:ascii="Times New Roman" w:eastAsia="Times New Roman" w:hAnsi="Times New Roman" w:cs="Times New Roman"/>
          <w:color w:val="000000"/>
          <w:sz w:val="24"/>
          <w:szCs w:val="24"/>
        </w:rPr>
        <w:t>, kai pajamos per mėnesį vienam šeimos nariui neviršija 2,5  VRP</w:t>
      </w:r>
      <w:r w:rsidR="0046506B" w:rsidRPr="005A2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506B" w:rsidRPr="005A27B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65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6B" w:rsidRPr="005A2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6B">
        <w:rPr>
          <w:rFonts w:ascii="Times New Roman" w:eastAsia="Times New Roman" w:hAnsi="Times New Roman" w:cs="Times New Roman"/>
          <w:sz w:val="24"/>
          <w:szCs w:val="24"/>
        </w:rPr>
        <w:t>įvertinus faktines išlaidas iki</w:t>
      </w:r>
      <w:r w:rsidR="0046506B" w:rsidRPr="005A2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6B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46506B" w:rsidRPr="005A27BC">
        <w:rPr>
          <w:rFonts w:ascii="Times New Roman" w:eastAsia="Times New Roman" w:hAnsi="Times New Roman" w:cs="Times New Roman"/>
          <w:sz w:val="24"/>
          <w:szCs w:val="24"/>
        </w:rPr>
        <w:t>VRP dydžio</w:t>
      </w:r>
      <w:r w:rsidRPr="00EE54CF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>“</w:t>
      </w:r>
    </w:p>
    <w:p w14:paraId="120010D8" w14:textId="77777777" w:rsidR="00A2211D" w:rsidRDefault="00045981" w:rsidP="0046506B">
      <w:pPr>
        <w:widowControl w:val="0"/>
        <w:tabs>
          <w:tab w:val="left" w:pos="748"/>
          <w:tab w:val="left" w:pos="112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2. Pakeisti </w:t>
      </w:r>
      <w:r w:rsidR="0046506B">
        <w:rPr>
          <w:rFonts w:ascii="Times New Roman" w:eastAsia="Lucida Sans Unicode" w:hAnsi="Times New Roman" w:cs="Times New Roman"/>
          <w:sz w:val="24"/>
          <w:szCs w:val="24"/>
          <w:lang w:eastAsia="ar-SA"/>
        </w:rPr>
        <w:t>13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46506B">
        <w:rPr>
          <w:rFonts w:ascii="Times New Roman" w:eastAsia="Lucida Sans Unicode" w:hAnsi="Times New Roman" w:cs="Times New Roman"/>
          <w:sz w:val="24"/>
          <w:szCs w:val="24"/>
          <w:lang w:eastAsia="ar-SA"/>
        </w:rPr>
        <w:t>punktą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 ir jį išdėstyti  taip</w:t>
      </w:r>
      <w:r w:rsidR="00A2211D">
        <w:rPr>
          <w:rFonts w:ascii="Times New Roman" w:eastAsia="Lucida Sans Unicode" w:hAnsi="Times New Roman" w:cs="Times New Roman"/>
          <w:sz w:val="24"/>
          <w:szCs w:val="24"/>
          <w:lang w:eastAsia="ar-SA"/>
        </w:rPr>
        <w:t>:</w:t>
      </w:r>
    </w:p>
    <w:p w14:paraId="5B0F429A" w14:textId="488E2853" w:rsidR="00045981" w:rsidRPr="0046506B" w:rsidRDefault="00045981" w:rsidP="00A2211D">
      <w:pPr>
        <w:widowControl w:val="0"/>
        <w:tabs>
          <w:tab w:val="left" w:pos="748"/>
          <w:tab w:val="left" w:pos="112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„</w:t>
      </w:r>
      <w:r w:rsidR="00A2211D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13. </w:t>
      </w:r>
      <w:r w:rsidR="00A2211D">
        <w:rPr>
          <w:rFonts w:ascii="Times New Roman" w:hAnsi="Times New Roman" w:cs="Times New Roman"/>
          <w:sz w:val="24"/>
          <w:szCs w:val="24"/>
        </w:rPr>
        <w:t>G</w:t>
      </w:r>
      <w:r w:rsidR="00A2211D" w:rsidRPr="00A2211D">
        <w:rPr>
          <w:rFonts w:ascii="Times New Roman" w:hAnsi="Times New Roman" w:cs="Times New Roman"/>
          <w:sz w:val="24"/>
          <w:szCs w:val="24"/>
        </w:rPr>
        <w:t>rįžus iš laisvės atėmimo ar kardomojo kalinimo vietų, socialinės bei psichologinės reabilitacijos įstaigų (toliau – įkalinimo įstaigos), jeigu asmenys dėl pašalpos kreipiasi ne vėliau kaip per du mėnesius nuo išleidimo iš laisvės atėmimo vietos dienos, buvo nubausti ne trumpesne nei 6 mėn. laisvės atėmimo bausme ir yra registruoti Užimtumo tarnyboje ar kitos valstybės valstybinėje įdarbinimo tarnyboje bei jų pajamos neviršija 1 VRP dydžio per mėnesį.  Vienkartinės pašalpos dydis – 1,0 VRP dydžio</w:t>
      </w:r>
      <w:r w:rsidR="0046506B" w:rsidRPr="0046506B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A2211D">
        <w:rPr>
          <w:rFonts w:ascii="Times New Roman" w:hAnsi="Times New Roman" w:cs="Times New Roman"/>
          <w:sz w:val="24"/>
          <w:szCs w:val="24"/>
          <w:lang w:eastAsia="lt-LT"/>
        </w:rPr>
        <w:t>“</w:t>
      </w:r>
    </w:p>
    <w:p w14:paraId="7AC19039" w14:textId="6792C1C9" w:rsidR="00790E52" w:rsidRPr="00790E52" w:rsidRDefault="00A2211D" w:rsidP="0079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790E5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5981" w:rsidRPr="00790E52">
        <w:rPr>
          <w:rFonts w:ascii="Times New Roman" w:eastAsia="Times New Roman" w:hAnsi="Times New Roman" w:cs="Times New Roman"/>
          <w:sz w:val="24"/>
          <w:szCs w:val="24"/>
        </w:rPr>
        <w:t xml:space="preserve">. Pripažinti netekusiu galios </w:t>
      </w:r>
      <w:r w:rsidRPr="00790E52">
        <w:rPr>
          <w:rFonts w:ascii="Times New Roman" w:eastAsia="Lucida Sans Unicode" w:hAnsi="Times New Roman" w:cs="Times New Roman"/>
          <w:sz w:val="24"/>
          <w:szCs w:val="24"/>
          <w:lang w:eastAsia="ar-SA"/>
        </w:rPr>
        <w:t>14</w:t>
      </w:r>
      <w:r w:rsidR="00045981" w:rsidRPr="00790E5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790E52">
        <w:rPr>
          <w:rFonts w:ascii="Times New Roman" w:eastAsia="Lucida Sans Unicode" w:hAnsi="Times New Roman" w:cs="Times New Roman"/>
          <w:sz w:val="24"/>
          <w:szCs w:val="24"/>
          <w:lang w:eastAsia="ar-SA"/>
        </w:rPr>
        <w:t>punktą</w:t>
      </w:r>
      <w:r w:rsidR="00045981" w:rsidRPr="00790E5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</w:p>
    <w:p w14:paraId="24C534AC" w14:textId="01A697B4" w:rsidR="00A2211D" w:rsidRDefault="00A2211D" w:rsidP="00045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4. Pakeisti 15 punktą  ir jį išdėstyti  taip:</w:t>
      </w:r>
    </w:p>
    <w:p w14:paraId="7C8F38F3" w14:textId="17147D94" w:rsidR="00A2211D" w:rsidRDefault="00790E52" w:rsidP="00A2211D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„</w:t>
      </w:r>
      <w:r w:rsidRPr="00531D8E">
        <w:rPr>
          <w:rFonts w:ascii="Times New Roman" w:eastAsia="Arial Unicode MS" w:hAnsi="Times New Roman" w:cs="Times New Roman"/>
          <w:sz w:val="24"/>
          <w:szCs w:val="24"/>
        </w:rPr>
        <w:t>15</w:t>
      </w:r>
      <w:r w:rsidR="00A2211D" w:rsidRPr="00790E52">
        <w:rPr>
          <w:rFonts w:ascii="Times New Roman" w:eastAsia="Arial Unicode MS" w:hAnsi="Times New Roman" w:cs="Times New Roman"/>
          <w:color w:val="0070C0"/>
          <w:sz w:val="24"/>
          <w:szCs w:val="24"/>
        </w:rPr>
        <w:t xml:space="preserve">. </w:t>
      </w:r>
      <w:r w:rsidR="00A2211D" w:rsidRPr="00DC71E5">
        <w:rPr>
          <w:rFonts w:ascii="Times New Roman" w:eastAsia="Arial Unicode MS" w:hAnsi="Times New Roman" w:cs="Times New Roman"/>
          <w:sz w:val="24"/>
          <w:szCs w:val="24"/>
        </w:rPr>
        <w:t xml:space="preserve">Asmens, grįžusio iš įkalinimo </w:t>
      </w:r>
      <w:r w:rsidR="00A2211D">
        <w:rPr>
          <w:rFonts w:ascii="Times New Roman" w:eastAsia="Arial Unicode MS" w:hAnsi="Times New Roman" w:cs="Times New Roman"/>
          <w:sz w:val="24"/>
          <w:szCs w:val="24"/>
        </w:rPr>
        <w:t>įstaigos</w:t>
      </w:r>
      <w:r w:rsidR="00A2211D" w:rsidRPr="00DC71E5">
        <w:rPr>
          <w:rFonts w:ascii="Times New Roman" w:eastAsia="Arial Unicode MS" w:hAnsi="Times New Roman" w:cs="Times New Roman"/>
          <w:sz w:val="24"/>
          <w:szCs w:val="24"/>
        </w:rPr>
        <w:t>, prašymas gauti paramą ir dokumentai</w:t>
      </w:r>
      <w:r w:rsidR="00A2211D">
        <w:rPr>
          <w:rFonts w:ascii="Times New Roman" w:eastAsia="Arial Unicode MS" w:hAnsi="Times New Roman" w:cs="Times New Roman"/>
          <w:sz w:val="24"/>
          <w:szCs w:val="24"/>
        </w:rPr>
        <w:t>, įrodantys teisę į paramą</w:t>
      </w:r>
      <w:r w:rsidR="00BE0521">
        <w:rPr>
          <w:rFonts w:ascii="Times New Roman" w:eastAsia="Arial Unicode MS" w:hAnsi="Times New Roman" w:cs="Times New Roman"/>
          <w:sz w:val="24"/>
          <w:szCs w:val="24"/>
        </w:rPr>
        <w:t>,</w:t>
      </w:r>
      <w:r w:rsidR="00A2211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2211D" w:rsidRPr="00DC71E5">
        <w:rPr>
          <w:rFonts w:ascii="Times New Roman" w:eastAsia="Arial Unicode MS" w:hAnsi="Times New Roman" w:cs="Times New Roman"/>
          <w:sz w:val="24"/>
          <w:szCs w:val="24"/>
        </w:rPr>
        <w:t xml:space="preserve"> pateikiami Kėdainių bendruomenės socialinio centro (toliau – Socialinio centro) atsakingam darbuotojui.</w:t>
      </w:r>
      <w:r w:rsidR="00A2211D">
        <w:rPr>
          <w:rFonts w:ascii="Times New Roman" w:eastAsia="Arial Unicode MS" w:hAnsi="Times New Roman" w:cs="Times New Roman"/>
          <w:sz w:val="24"/>
          <w:szCs w:val="24"/>
        </w:rPr>
        <w:t>“</w:t>
      </w:r>
    </w:p>
    <w:p w14:paraId="0D45C4E5" w14:textId="2E96A33A" w:rsidR="00A2211D" w:rsidRDefault="00A2211D" w:rsidP="00A2211D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5.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Pakeisti 16 punktą  ir jį išdėstyti  taip:</w:t>
      </w:r>
    </w:p>
    <w:p w14:paraId="6400A3A3" w14:textId="735034C4" w:rsidR="00A2211D" w:rsidRDefault="00790E52" w:rsidP="00A2211D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„</w:t>
      </w:r>
      <w:r w:rsidRPr="00531D8E">
        <w:rPr>
          <w:rFonts w:ascii="Times New Roman" w:eastAsia="Lucida Sans Unicode" w:hAnsi="Times New Roman" w:cs="Times New Roman"/>
          <w:sz w:val="24"/>
          <w:szCs w:val="24"/>
          <w:lang w:eastAsia="ar-SA"/>
        </w:rPr>
        <w:t>16</w:t>
      </w:r>
      <w:r w:rsidR="00A2211D" w:rsidRPr="00790E52">
        <w:rPr>
          <w:rFonts w:ascii="Times New Roman" w:eastAsia="Lucida Sans Unicode" w:hAnsi="Times New Roman" w:cs="Times New Roman"/>
          <w:color w:val="0070C0"/>
          <w:sz w:val="24"/>
          <w:szCs w:val="24"/>
          <w:lang w:eastAsia="ar-SA"/>
        </w:rPr>
        <w:t>.</w:t>
      </w:r>
      <w:r w:rsidR="00A2211D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A2211D" w:rsidRPr="00DC71E5">
        <w:rPr>
          <w:rFonts w:ascii="Times New Roman" w:eastAsia="Arial Unicode MS" w:hAnsi="Times New Roman" w:cs="Times New Roman"/>
          <w:sz w:val="24"/>
          <w:szCs w:val="24"/>
        </w:rPr>
        <w:t xml:space="preserve">Parama asmeniui, grįžusiam iš įkalinimo </w:t>
      </w:r>
      <w:r w:rsidR="00572216">
        <w:rPr>
          <w:rFonts w:ascii="Times New Roman" w:eastAsia="Arial Unicode MS" w:hAnsi="Times New Roman" w:cs="Times New Roman"/>
          <w:sz w:val="24"/>
          <w:szCs w:val="24"/>
        </w:rPr>
        <w:t>įstaigos</w:t>
      </w:r>
      <w:r w:rsidR="00A2211D" w:rsidRPr="00DC71E5">
        <w:rPr>
          <w:rFonts w:ascii="Times New Roman" w:eastAsia="Arial Unicode MS" w:hAnsi="Times New Roman" w:cs="Times New Roman"/>
          <w:sz w:val="24"/>
          <w:szCs w:val="24"/>
        </w:rPr>
        <w:t xml:space="preserve">, skiriama Socialinio centro direktoriaus įsakymu ir išmokama </w:t>
      </w:r>
      <w:r w:rsidR="00A2211D">
        <w:rPr>
          <w:rFonts w:ascii="Times New Roman" w:eastAsia="Arial Unicode MS" w:hAnsi="Times New Roman" w:cs="Times New Roman"/>
          <w:sz w:val="24"/>
          <w:szCs w:val="24"/>
        </w:rPr>
        <w:t>pareiškėjo prašyme nurodytu būdu.“</w:t>
      </w:r>
    </w:p>
    <w:p w14:paraId="4BED3D8D" w14:textId="77777777" w:rsidR="00086C7F" w:rsidRDefault="00086C7F" w:rsidP="00A2211D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75F3059" w14:textId="77777777" w:rsidR="00086C7F" w:rsidRDefault="00086C7F" w:rsidP="00A2211D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9CEB646" w14:textId="77777777" w:rsidR="00086C7F" w:rsidRDefault="00086C7F" w:rsidP="00A2211D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9FF0AAB" w14:textId="096FFE51" w:rsidR="00A2211D" w:rsidRDefault="00045981" w:rsidP="00045981">
      <w:pPr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7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meras </w:t>
      </w:r>
      <w:r w:rsidR="00086C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86C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86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bookmarkStart w:id="0" w:name="_GoBack"/>
      <w:bookmarkEnd w:id="0"/>
      <w:r w:rsidR="00086C7F">
        <w:rPr>
          <w:rFonts w:ascii="Times New Roman" w:eastAsia="Times New Roman" w:hAnsi="Times New Roman" w:cs="Times New Roman"/>
          <w:sz w:val="24"/>
          <w:szCs w:val="24"/>
          <w:lang w:eastAsia="ar-SA"/>
        </w:rPr>
        <w:t>Valentinas Tamulis</w:t>
      </w:r>
    </w:p>
    <w:p w14:paraId="4C612955" w14:textId="77777777" w:rsidR="00086C7F" w:rsidRDefault="00086C7F" w:rsidP="00045981">
      <w:pPr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D2C0D0" w14:textId="77777777" w:rsidR="00A2211D" w:rsidRDefault="00A2211D" w:rsidP="00045981">
      <w:pPr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5EEB68" w14:textId="4379BD3D" w:rsidR="004D5EE2" w:rsidRDefault="004D5EE2"/>
    <w:p w14:paraId="305D9970" w14:textId="11D43415" w:rsidR="004D5EE2" w:rsidRDefault="004D5EE2"/>
    <w:p w14:paraId="2170BBE9" w14:textId="7CE59DD3" w:rsidR="004D5EE2" w:rsidRDefault="004D5EE2"/>
    <w:sectPr w:rsidR="004D5EE2" w:rsidSect="00B86EBD">
      <w:pgSz w:w="11907" w:h="16839" w:code="9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5072C"/>
    <w:multiLevelType w:val="multilevel"/>
    <w:tmpl w:val="C8F4EE58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576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0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6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  <w:color w:val="000000"/>
      </w:rPr>
    </w:lvl>
  </w:abstractNum>
  <w:abstractNum w:abstractNumId="1" w15:restartNumberingAfterBreak="0">
    <w:nsid w:val="6EE358E4"/>
    <w:multiLevelType w:val="hybridMultilevel"/>
    <w:tmpl w:val="9024606A"/>
    <w:lvl w:ilvl="0" w:tplc="72A4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81"/>
    <w:rsid w:val="00045981"/>
    <w:rsid w:val="000572B7"/>
    <w:rsid w:val="00086C7F"/>
    <w:rsid w:val="00194302"/>
    <w:rsid w:val="0046506B"/>
    <w:rsid w:val="004D5EE2"/>
    <w:rsid w:val="00531D8E"/>
    <w:rsid w:val="00572216"/>
    <w:rsid w:val="00790E52"/>
    <w:rsid w:val="007F7A24"/>
    <w:rsid w:val="0080280A"/>
    <w:rsid w:val="00867185"/>
    <w:rsid w:val="00933006"/>
    <w:rsid w:val="00A04C08"/>
    <w:rsid w:val="00A2211D"/>
    <w:rsid w:val="00B86EBD"/>
    <w:rsid w:val="00BE0521"/>
    <w:rsid w:val="00C1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AC60"/>
  <w15:docId w15:val="{25A16B9A-641E-4F9A-8958-EF768835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5981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598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6EBD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8</cp:revision>
  <cp:lastPrinted>2020-12-21T12:14:00Z</cp:lastPrinted>
  <dcterms:created xsi:type="dcterms:W3CDTF">2020-12-07T06:43:00Z</dcterms:created>
  <dcterms:modified xsi:type="dcterms:W3CDTF">2020-12-21T12:18:00Z</dcterms:modified>
</cp:coreProperties>
</file>