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61" w:rsidRPr="00EA1861" w:rsidRDefault="00EA1861" w:rsidP="00EA1861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A1861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 wp14:anchorId="48FB8AD4" wp14:editId="7509C2F3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861" w:rsidRPr="00EA1861" w:rsidRDefault="00EA1861" w:rsidP="00EA1861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A1861" w:rsidRPr="00EA1861" w:rsidRDefault="00EA1861" w:rsidP="00EA186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EA1861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kėdainių rajono savivaldybėS ADMINISTRACIJOS DIREKTORIUS</w:t>
      </w:r>
    </w:p>
    <w:p w:rsidR="00EA1861" w:rsidRPr="00EA1861" w:rsidRDefault="00EA1861" w:rsidP="00EA186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EA1861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 xml:space="preserve"> </w:t>
      </w:r>
    </w:p>
    <w:p w:rsidR="00EA1861" w:rsidRPr="00EA1861" w:rsidRDefault="00EA1861" w:rsidP="00EA1861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EA1861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ĮSAKYMAS</w:t>
      </w:r>
    </w:p>
    <w:p w:rsidR="00EA1861" w:rsidRPr="00EA1861" w:rsidRDefault="00EA1861" w:rsidP="00EA1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861">
        <w:rPr>
          <w:rFonts w:ascii="Times New Roman" w:hAnsi="Times New Roman" w:cs="Times New Roman"/>
          <w:b/>
          <w:sz w:val="24"/>
          <w:szCs w:val="24"/>
        </w:rPr>
        <w:t xml:space="preserve">DĖL KĖDAINIŲ RAJONO SAVIVALDYBĖS </w:t>
      </w:r>
      <w:proofErr w:type="gramStart"/>
      <w:r w:rsidRPr="00EA1861">
        <w:rPr>
          <w:rFonts w:ascii="Times New Roman" w:hAnsi="Times New Roman" w:cs="Times New Roman"/>
          <w:b/>
          <w:sz w:val="24"/>
          <w:szCs w:val="24"/>
        </w:rPr>
        <w:t>ADMINISTRACIJOS  DIREKTORIAUS</w:t>
      </w:r>
      <w:proofErr w:type="gramEnd"/>
      <w:r w:rsidRPr="00EA1861">
        <w:rPr>
          <w:rFonts w:ascii="Times New Roman" w:hAnsi="Times New Roman" w:cs="Times New Roman"/>
          <w:b/>
          <w:sz w:val="24"/>
          <w:szCs w:val="24"/>
        </w:rPr>
        <w:t xml:space="preserve">       2019 M. SPALIO 11 D. ĮSAKYMO NR. AD-1-1179 „DĖL KĖDAINIŲ RAJONO SAVIVALDYBĖS </w:t>
      </w:r>
      <w:proofErr w:type="gramStart"/>
      <w:r w:rsidRPr="00EA1861">
        <w:rPr>
          <w:rFonts w:ascii="Times New Roman" w:hAnsi="Times New Roman" w:cs="Times New Roman"/>
          <w:b/>
          <w:sz w:val="24"/>
          <w:szCs w:val="24"/>
        </w:rPr>
        <w:t>ADMINISTRACIJOS  VIEŠŲJŲ</w:t>
      </w:r>
      <w:proofErr w:type="gramEnd"/>
      <w:r w:rsidRPr="00EA1861">
        <w:rPr>
          <w:rFonts w:ascii="Times New Roman" w:hAnsi="Times New Roman" w:cs="Times New Roman"/>
          <w:b/>
          <w:sz w:val="24"/>
          <w:szCs w:val="24"/>
        </w:rPr>
        <w:t xml:space="preserve"> PIRKIMŲ ORGANIZAVIMO TAISYKLIŲ TVIRTINIMO“ PAKEITIMO</w:t>
      </w:r>
    </w:p>
    <w:p w:rsidR="00EA1861" w:rsidRPr="00EA1861" w:rsidRDefault="00EA1861" w:rsidP="00EA18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186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EA1861" w:rsidRP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3247F">
        <w:rPr>
          <w:rFonts w:ascii="Times New Roman" w:hAnsi="Times New Roman" w:cs="Times New Roman"/>
          <w:sz w:val="24"/>
          <w:szCs w:val="24"/>
        </w:rPr>
        <w:t xml:space="preserve">  2020 m. </w:t>
      </w:r>
      <w:proofErr w:type="spellStart"/>
      <w:r w:rsidR="0023247F">
        <w:rPr>
          <w:rFonts w:ascii="Times New Roman" w:hAnsi="Times New Roman" w:cs="Times New Roman"/>
          <w:sz w:val="24"/>
          <w:szCs w:val="24"/>
        </w:rPr>
        <w:t>spalio</w:t>
      </w:r>
      <w:proofErr w:type="spellEnd"/>
      <w:r w:rsidR="0023247F">
        <w:rPr>
          <w:rFonts w:ascii="Times New Roman" w:hAnsi="Times New Roman" w:cs="Times New Roman"/>
          <w:sz w:val="24"/>
          <w:szCs w:val="24"/>
        </w:rPr>
        <w:t xml:space="preserve"> 30 </w:t>
      </w:r>
      <w:r w:rsidRPr="00EA1861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>. AD-1-</w:t>
      </w:r>
      <w:r w:rsidR="0023247F">
        <w:rPr>
          <w:rFonts w:ascii="Times New Roman" w:hAnsi="Times New Roman" w:cs="Times New Roman"/>
          <w:sz w:val="24"/>
          <w:szCs w:val="24"/>
        </w:rPr>
        <w:t>1339</w:t>
      </w:r>
    </w:p>
    <w:p w:rsidR="00EA1861" w:rsidRDefault="00EA1861" w:rsidP="00EA1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>Kėdainiai</w:t>
      </w:r>
    </w:p>
    <w:p w:rsidR="00EA1861" w:rsidRPr="00EA1861" w:rsidRDefault="00EA1861" w:rsidP="00EA1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861" w:rsidRPr="00EA1861" w:rsidRDefault="00EA1861" w:rsidP="00EA18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861">
        <w:rPr>
          <w:rFonts w:ascii="Times New Roman" w:hAnsi="Times New Roman" w:cs="Times New Roman"/>
          <w:sz w:val="24"/>
          <w:szCs w:val="24"/>
        </w:rPr>
        <w:t>Vadovaudamasis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Lietuvos Respublikos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vietos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savivaldos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dalimi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>:</w:t>
      </w:r>
    </w:p>
    <w:p w:rsidR="00EA1861" w:rsidRPr="00EA1861" w:rsidRDefault="00EA1861" w:rsidP="00EA18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 xml:space="preserve">1. P a k e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č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u  Kėdainių rajono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taisykles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patvirtintas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Kėdainių rajono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2019 m.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spalio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11 d.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>. AD-1-1179 „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Kėdainių rajono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tvirtinimo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>“:</w:t>
      </w:r>
    </w:p>
    <w:p w:rsidR="00EA1861" w:rsidRPr="00EA1861" w:rsidRDefault="00EA1861" w:rsidP="00EA18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Pakeičiu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punktą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jį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išdėstau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taip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>:</w:t>
      </w:r>
    </w:p>
    <w:p w:rsidR="00EA1861" w:rsidRPr="00EA1861" w:rsidRDefault="00EA1861" w:rsidP="00EA1861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 xml:space="preserve">„42.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Pirkimo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paraiška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Taisyklių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12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punkte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nurodytais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priedais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jei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jie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pridedami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suderinta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seniūnijos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finansininku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Viešųjų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pirkimų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skyriaus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darbuotoju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atsakingu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už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seniūnijų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pirkimų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planavimą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ir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asmeniu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atsakingu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už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pirkimų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vykdymą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naudojantis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CPO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elektroniniu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katalogu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teikiama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tvirtinti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seniūnui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ar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kitam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seniūno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įgaliojimus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turinčiam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asmeniui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proofErr w:type="gramStart"/>
      <w:r w:rsidRPr="00EA1861">
        <w:rPr>
          <w:rFonts w:ascii="Times New Roman" w:hAnsi="Times New Roman" w:cs="Times New Roman"/>
          <w:iCs/>
          <w:sz w:val="24"/>
          <w:szCs w:val="24"/>
        </w:rPr>
        <w:t>Paraiška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gali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būti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derinama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el.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paštu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ar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Dokumentų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valdymo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sistemos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(DVS)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priemonėmis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Seniūno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ar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kito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seniūno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įgaliojimus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turinčio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asmens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patvirtinta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paraiška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saugoma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seniūnijoje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>“;</w:t>
      </w:r>
    </w:p>
    <w:p w:rsidR="00EA1861" w:rsidRPr="00EA1861" w:rsidRDefault="00EA1861" w:rsidP="00EA1861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1861">
        <w:rPr>
          <w:rFonts w:ascii="Times New Roman" w:hAnsi="Times New Roman" w:cs="Times New Roman"/>
          <w:iCs/>
          <w:sz w:val="24"/>
          <w:szCs w:val="24"/>
        </w:rPr>
        <w:t xml:space="preserve">1.2. </w:t>
      </w:r>
      <w:proofErr w:type="spellStart"/>
      <w:proofErr w:type="gramStart"/>
      <w:r w:rsidRPr="00EA1861">
        <w:rPr>
          <w:rFonts w:ascii="Times New Roman" w:hAnsi="Times New Roman" w:cs="Times New Roman"/>
          <w:iCs/>
          <w:sz w:val="24"/>
          <w:szCs w:val="24"/>
        </w:rPr>
        <w:t>Pakeičiu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 1</w:t>
      </w:r>
      <w:proofErr w:type="gram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priedą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ir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jį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išdėstau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nauja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redakcija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pridedama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>);</w:t>
      </w:r>
    </w:p>
    <w:p w:rsidR="00EA1861" w:rsidRPr="00EA1861" w:rsidRDefault="00EA1861" w:rsidP="00EA1861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1861">
        <w:rPr>
          <w:rFonts w:ascii="Times New Roman" w:hAnsi="Times New Roman" w:cs="Times New Roman"/>
          <w:iCs/>
          <w:sz w:val="24"/>
          <w:szCs w:val="24"/>
        </w:rPr>
        <w:t xml:space="preserve">1.3.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Pakeičiu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2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priedą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ir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jį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išdėstau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nauja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redakcija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EA1861">
        <w:rPr>
          <w:rFonts w:ascii="Times New Roman" w:hAnsi="Times New Roman" w:cs="Times New Roman"/>
          <w:iCs/>
          <w:sz w:val="24"/>
          <w:szCs w:val="24"/>
        </w:rPr>
        <w:t>pridedama</w:t>
      </w:r>
      <w:proofErr w:type="spellEnd"/>
      <w:r w:rsidRPr="00EA1861">
        <w:rPr>
          <w:rFonts w:ascii="Times New Roman" w:hAnsi="Times New Roman" w:cs="Times New Roman"/>
          <w:iCs/>
          <w:sz w:val="24"/>
          <w:szCs w:val="24"/>
        </w:rPr>
        <w:t>).</w:t>
      </w: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P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1861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Pr="00EA1861">
        <w:rPr>
          <w:rFonts w:ascii="Times New Roman" w:hAnsi="Times New Roman" w:cs="Times New Roman"/>
          <w:sz w:val="24"/>
          <w:szCs w:val="24"/>
        </w:rPr>
        <w:t xml:space="preserve"> direktorius</w:t>
      </w:r>
      <w:r w:rsidRPr="00EA1861">
        <w:rPr>
          <w:rFonts w:ascii="Times New Roman" w:hAnsi="Times New Roman" w:cs="Times New Roman"/>
          <w:sz w:val="24"/>
          <w:szCs w:val="24"/>
        </w:rPr>
        <w:tab/>
      </w:r>
      <w:r w:rsidRPr="00EA1861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EA1861">
        <w:rPr>
          <w:rFonts w:ascii="Times New Roman" w:hAnsi="Times New Roman" w:cs="Times New Roman"/>
          <w:sz w:val="24"/>
          <w:szCs w:val="24"/>
        </w:rPr>
        <w:tab/>
      </w:r>
      <w:r w:rsidRPr="00EA186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A1861">
        <w:rPr>
          <w:rFonts w:ascii="Times New Roman" w:hAnsi="Times New Roman" w:cs="Times New Roman"/>
          <w:sz w:val="24"/>
          <w:szCs w:val="24"/>
        </w:rPr>
        <w:t xml:space="preserve"> Arūnas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Kacevičius</w:t>
      </w:r>
      <w:proofErr w:type="spellEnd"/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861" w:rsidRP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ab/>
      </w:r>
      <w:r w:rsidRPr="00EA1861">
        <w:rPr>
          <w:rFonts w:ascii="Times New Roman" w:hAnsi="Times New Roman" w:cs="Times New Roman"/>
          <w:sz w:val="24"/>
          <w:szCs w:val="24"/>
        </w:rPr>
        <w:tab/>
      </w:r>
      <w:r w:rsidRPr="00EA1861">
        <w:rPr>
          <w:rFonts w:ascii="Times New Roman" w:hAnsi="Times New Roman" w:cs="Times New Roman"/>
          <w:sz w:val="24"/>
          <w:szCs w:val="24"/>
        </w:rPr>
        <w:tab/>
      </w:r>
      <w:r w:rsidRPr="00EA1861">
        <w:rPr>
          <w:rFonts w:ascii="Times New Roman" w:hAnsi="Times New Roman" w:cs="Times New Roman"/>
          <w:sz w:val="24"/>
          <w:szCs w:val="24"/>
        </w:rPr>
        <w:tab/>
      </w:r>
      <w:r w:rsidRPr="00EA1861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EA1861" w:rsidRP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1861">
        <w:rPr>
          <w:rFonts w:ascii="Times New Roman" w:hAnsi="Times New Roman" w:cs="Times New Roman"/>
          <w:sz w:val="24"/>
          <w:szCs w:val="24"/>
        </w:rPr>
        <w:t>Parengė</w:t>
      </w:r>
      <w:proofErr w:type="spellEnd"/>
    </w:p>
    <w:p w:rsidR="00EA1861" w:rsidRP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>Virginija Vaičiulienė</w:t>
      </w:r>
      <w:r w:rsidRPr="00EA1861">
        <w:rPr>
          <w:rFonts w:ascii="Times New Roman" w:hAnsi="Times New Roman" w:cs="Times New Roman"/>
          <w:sz w:val="24"/>
          <w:szCs w:val="24"/>
        </w:rPr>
        <w:tab/>
      </w:r>
      <w:r w:rsidRPr="00EA1861">
        <w:rPr>
          <w:rFonts w:ascii="Times New Roman" w:hAnsi="Times New Roman" w:cs="Times New Roman"/>
          <w:sz w:val="24"/>
          <w:szCs w:val="24"/>
        </w:rPr>
        <w:tab/>
        <w:t xml:space="preserve">Marius 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Stasiukonis</w:t>
      </w:r>
      <w:proofErr w:type="spellEnd"/>
    </w:p>
    <w:p w:rsidR="00EA1861" w:rsidRPr="00EA1861" w:rsidRDefault="00EA1861" w:rsidP="00EA1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 xml:space="preserve">2020-10-19                       </w:t>
      </w:r>
    </w:p>
    <w:p w:rsidR="00776F68" w:rsidRPr="0023247F" w:rsidRDefault="00EA1861" w:rsidP="0023247F">
      <w:pPr>
        <w:spacing w:after="0"/>
        <w:sectPr w:rsidR="00776F68" w:rsidRPr="0023247F" w:rsidSect="00EA1861">
          <w:pgSz w:w="11906" w:h="16838"/>
          <w:pgMar w:top="851" w:right="849" w:bottom="1701" w:left="1276" w:header="708" w:footer="708" w:gutter="0"/>
          <w:cols w:space="708"/>
          <w:docGrid w:linePitch="360"/>
        </w:sectPr>
      </w:pPr>
      <w:r w:rsidRPr="00EA186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A1861">
        <w:rPr>
          <w:rFonts w:ascii="Times New Roman" w:hAnsi="Times New Roman" w:cs="Times New Roman"/>
          <w:sz w:val="24"/>
          <w:szCs w:val="24"/>
        </w:rPr>
        <w:t xml:space="preserve">  V-</w:t>
      </w:r>
      <w:proofErr w:type="spellStart"/>
      <w:r w:rsidRPr="00EA1861">
        <w:rPr>
          <w:rFonts w:ascii="Times New Roman" w:hAnsi="Times New Roman" w:cs="Times New Roman"/>
          <w:sz w:val="24"/>
          <w:szCs w:val="24"/>
        </w:rPr>
        <w:t>sistemoje</w:t>
      </w:r>
      <w:proofErr w:type="spellEnd"/>
    </w:p>
    <w:p w:rsidR="00EA1861" w:rsidRDefault="00EA1861" w:rsidP="00EA1861">
      <w:pPr>
        <w:spacing w:after="0" w:line="240" w:lineRule="auto"/>
        <w:ind w:left="1036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Kėdainių rajono savivaldybės administracijos</w:t>
      </w:r>
    </w:p>
    <w:p w:rsidR="00EA1861" w:rsidRDefault="00EA1861" w:rsidP="00EA1861">
      <w:pPr>
        <w:spacing w:after="0" w:line="240" w:lineRule="auto"/>
        <w:ind w:left="1036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Viešųjų pirkimų organizavimo taisyklių </w:t>
      </w:r>
    </w:p>
    <w:p w:rsidR="00EA1861" w:rsidRDefault="00EA1861" w:rsidP="00EA1861">
      <w:pPr>
        <w:ind w:left="9072" w:firstLine="129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 priedas</w:t>
      </w:r>
    </w:p>
    <w:p w:rsidR="00EA1861" w:rsidRDefault="00EA1861" w:rsidP="00EA18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</w:t>
      </w:r>
    </w:p>
    <w:p w:rsidR="00EA1861" w:rsidRDefault="00EA1861" w:rsidP="00EA1861">
      <w:pPr>
        <w:spacing w:after="0" w:line="240" w:lineRule="auto"/>
        <w:ind w:left="1872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(Kėdainių rajono savivaldybės administracijos struktūrinio padalinio pavadinimas)</w:t>
      </w:r>
    </w:p>
    <w:p w:rsidR="00EA1861" w:rsidRDefault="00EA1861" w:rsidP="00EA1861">
      <w:pPr>
        <w:spacing w:after="0" w:line="240" w:lineRule="auto"/>
        <w:ind w:left="720" w:firstLine="72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firstLine="1296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20____ BIUDŽETINIAIS METAIS REIKALINGŲ PIRKTI</w:t>
      </w:r>
    </w:p>
    <w:p w:rsidR="00EA1861" w:rsidRDefault="00EA1861" w:rsidP="00EA1861">
      <w:pPr>
        <w:spacing w:after="0" w:line="240" w:lineRule="auto"/>
        <w:ind w:left="720"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PREKIŲ, PASLAUGŲ IR DARBŲ SĄRAŠAS</w:t>
      </w:r>
    </w:p>
    <w:tbl>
      <w:tblPr>
        <w:tblW w:w="152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526"/>
        <w:gridCol w:w="874"/>
        <w:gridCol w:w="1456"/>
        <w:gridCol w:w="1456"/>
        <w:gridCol w:w="1363"/>
        <w:gridCol w:w="1590"/>
        <w:gridCol w:w="1831"/>
        <w:gridCol w:w="1415"/>
        <w:gridCol w:w="1377"/>
        <w:gridCol w:w="1803"/>
      </w:tblGrid>
      <w:tr w:rsidR="00EA1861" w:rsidTr="00EA1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ind w:right="7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Prekės, paslaugos ar darbo pavadinimas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Kodas pagal BVPŽ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Numatomos skirti lėšos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(su PVM)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Numatomos skirti lėšos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(be PVM)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Numatoma pirkimo pradžia</w:t>
            </w:r>
          </w:p>
          <w:p w:rsidR="00EA1861" w:rsidRDefault="00EA18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.)</w:t>
            </w:r>
          </w:p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Numatomas</w:t>
            </w:r>
          </w:p>
          <w:p w:rsidR="00EA1861" w:rsidRDefault="00EA18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pasiūlymų vertinimas 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(nurodyti siūlymą ekonomiškai naudingiausią pasiūlymą išrinkti pagal: </w:t>
            </w:r>
          </w:p>
          <w:p w:rsidR="00EA1861" w:rsidRDefault="00EA18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1) kainos ar sąnaudų ir kokybės santykį;</w:t>
            </w:r>
          </w:p>
          <w:p w:rsidR="00EA1861" w:rsidRDefault="00EA18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2) sąnaudas;</w:t>
            </w:r>
          </w:p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3) kainą)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Numatoma prekių pristatymo/ paslaugų suteikimo/ darbų atlikimo trukmė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Numatoma sutarties trukmė</w:t>
            </w:r>
          </w:p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Pirkimo iniciatorius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Kita</w:t>
            </w:r>
          </w:p>
          <w:p w:rsidR="00EA1861" w:rsidRDefault="00EA18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informacija</w:t>
            </w:r>
          </w:p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pvz.,nurodoma: 1) ar pagal konkretų techninį projektą darbai perkami pirmą kartą, ar darbai perkami pagal tolesnį šio projekto etapą (nurodyti už kokią sumą jau yra nupirkta darbų pagal tą patį techninį projektą); 2) ar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lt-LT"/>
              </w:rPr>
              <w:t>per finansinius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metus buvo sudaryta pirkimo sutarčių dėl panašių to 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lastRenderedPageBreak/>
              <w:t>paties statinio statybos darbų ir  kt.)</w:t>
            </w:r>
          </w:p>
        </w:tc>
      </w:tr>
      <w:tr w:rsidR="00EA1861" w:rsidTr="00EA1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11</w:t>
            </w:r>
          </w:p>
        </w:tc>
      </w:tr>
      <w:tr w:rsidR="00EA1861" w:rsidTr="00EA1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A1861" w:rsidTr="00EA1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EA1861" w:rsidRDefault="00EA1861" w:rsidP="00EA186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Numatomam (-</w:t>
      </w:r>
      <w:proofErr w:type="spellStart"/>
      <w:r>
        <w:rPr>
          <w:rFonts w:ascii="Times New Roman" w:hAnsi="Times New Roman"/>
          <w:b/>
          <w:sz w:val="24"/>
          <w:szCs w:val="24"/>
          <w:lang w:val="lt-LT"/>
        </w:rPr>
        <w:t>iems</w:t>
      </w:r>
      <w:proofErr w:type="spellEnd"/>
      <w:r>
        <w:rPr>
          <w:rFonts w:ascii="Times New Roman" w:hAnsi="Times New Roman"/>
          <w:b/>
          <w:sz w:val="24"/>
          <w:szCs w:val="24"/>
          <w:lang w:val="lt-LT"/>
        </w:rPr>
        <w:t>) pirkimui (-</w:t>
      </w:r>
      <w:proofErr w:type="spellStart"/>
      <w:r>
        <w:rPr>
          <w:rFonts w:ascii="Times New Roman" w:hAnsi="Times New Roman"/>
          <w:b/>
          <w:sz w:val="24"/>
          <w:szCs w:val="24"/>
          <w:lang w:val="lt-LT"/>
        </w:rPr>
        <w:t>ams</w:t>
      </w:r>
      <w:proofErr w:type="spellEnd"/>
      <w:r>
        <w:rPr>
          <w:rFonts w:ascii="Times New Roman" w:hAnsi="Times New Roman"/>
          <w:b/>
          <w:sz w:val="24"/>
          <w:szCs w:val="24"/>
          <w:lang w:val="lt-LT"/>
        </w:rPr>
        <w:t xml:space="preserve">) nurodytų prognozuojamų išlaidų būtinumo pagrindimas (aprašymas), atsižvelgiant į atliktų rinkos tyrimų duomenis </w:t>
      </w:r>
      <w:r>
        <w:rPr>
          <w:rFonts w:ascii="Times New Roman" w:hAnsi="Times New Roman"/>
          <w:i/>
          <w:sz w:val="24"/>
          <w:szCs w:val="24"/>
          <w:lang w:val="lt-LT"/>
        </w:rPr>
        <w:t xml:space="preserve">(ši dalis nepildoma, kai:  susidariusios ypatingos aplinkybės (avarija, stichinė nelaimė, epidemija ar kitoks nenugalimos jėgos poveikis);atliekamas pirkimas, kai numatoma pirkimo sutarties vertė be PVM yra mažesnė kaip 3000 </w:t>
      </w:r>
      <w:proofErr w:type="spellStart"/>
      <w:r>
        <w:rPr>
          <w:rFonts w:ascii="Times New Roman" w:hAnsi="Times New Roman"/>
          <w:i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/>
          <w:i/>
          <w:sz w:val="24"/>
          <w:szCs w:val="24"/>
          <w:lang w:val="lt-LT"/>
        </w:rPr>
        <w:t>;  perkami suvenyrai, dovanos, knygos; perkamos apgyvendinimo, maitinimo, mokymo ir švietimo paslaugos; perkama laikraščių ir žurnalų prenumerata; pirkimą numatoma atlikti naudojantis CPO elektroniniu katalogu): ______________________________________________________________________________________________________________</w:t>
      </w:r>
    </w:p>
    <w:p w:rsidR="00EA1861" w:rsidRDefault="00EA1861" w:rsidP="00EA1861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__________________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_________________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______________</w:t>
      </w:r>
    </w:p>
    <w:p w:rsidR="00EA1861" w:rsidRDefault="00EA1861" w:rsidP="00EA1861">
      <w:pPr>
        <w:spacing w:after="0" w:line="240" w:lineRule="auto"/>
        <w:ind w:left="426" w:hanging="426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i/>
          <w:sz w:val="24"/>
          <w:szCs w:val="24"/>
          <w:lang w:val="lt-LT"/>
        </w:rPr>
        <w:t xml:space="preserve">      </w:t>
      </w:r>
      <w:r>
        <w:rPr>
          <w:rFonts w:ascii="Times New Roman" w:hAnsi="Times New Roman"/>
          <w:i/>
          <w:sz w:val="20"/>
          <w:szCs w:val="20"/>
          <w:lang w:val="lt-LT"/>
        </w:rPr>
        <w:t>(pirkimo iniciatorius)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(parašas)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(data)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</w:p>
    <w:p w:rsidR="00EA1861" w:rsidRDefault="00EA1861" w:rsidP="00EA1861">
      <w:pPr>
        <w:spacing w:after="0" w:line="240" w:lineRule="auto"/>
        <w:ind w:left="426" w:hanging="426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 xml:space="preserve">       _____________________</w:t>
      </w:r>
      <w:r>
        <w:rPr>
          <w:rFonts w:ascii="Times New Roman" w:hAnsi="Times New Roman"/>
          <w:sz w:val="20"/>
          <w:szCs w:val="20"/>
          <w:lang w:val="lt-LT"/>
        </w:rPr>
        <w:tab/>
        <w:t xml:space="preserve">                      </w:t>
      </w:r>
      <w:r>
        <w:rPr>
          <w:rFonts w:ascii="Times New Roman" w:hAnsi="Times New Roman"/>
          <w:sz w:val="20"/>
          <w:szCs w:val="20"/>
          <w:lang w:val="lt-LT"/>
        </w:rPr>
        <w:tab/>
      </w:r>
      <w:r>
        <w:rPr>
          <w:rFonts w:ascii="Times New Roman" w:hAnsi="Times New Roman"/>
          <w:sz w:val="20"/>
          <w:szCs w:val="20"/>
          <w:lang w:val="lt-LT"/>
        </w:rPr>
        <w:tab/>
        <w:t xml:space="preserve"> _________________</w:t>
      </w:r>
      <w:r>
        <w:rPr>
          <w:rFonts w:ascii="Times New Roman" w:hAnsi="Times New Roman"/>
          <w:sz w:val="20"/>
          <w:szCs w:val="20"/>
          <w:lang w:val="lt-LT"/>
        </w:rPr>
        <w:tab/>
      </w:r>
      <w:r>
        <w:rPr>
          <w:rFonts w:ascii="Times New Roman" w:hAnsi="Times New Roman"/>
          <w:sz w:val="20"/>
          <w:szCs w:val="20"/>
          <w:lang w:val="lt-LT"/>
        </w:rPr>
        <w:tab/>
      </w:r>
      <w:r>
        <w:rPr>
          <w:rFonts w:ascii="Times New Roman" w:hAnsi="Times New Roman"/>
          <w:sz w:val="20"/>
          <w:szCs w:val="20"/>
          <w:lang w:val="lt-LT"/>
        </w:rPr>
        <w:tab/>
      </w:r>
      <w:r>
        <w:rPr>
          <w:rFonts w:ascii="Times New Roman" w:hAnsi="Times New Roman"/>
          <w:sz w:val="20"/>
          <w:szCs w:val="20"/>
          <w:lang w:val="lt-LT"/>
        </w:rPr>
        <w:tab/>
        <w:t>______________</w:t>
      </w:r>
    </w:p>
    <w:p w:rsidR="00EA1861" w:rsidRDefault="00EA1861" w:rsidP="00EA1861">
      <w:pPr>
        <w:spacing w:after="0" w:line="240" w:lineRule="auto"/>
        <w:ind w:left="426" w:hanging="426"/>
        <w:rPr>
          <w:rFonts w:ascii="Times New Roman" w:hAnsi="Times New Roman"/>
          <w:i/>
          <w:sz w:val="20"/>
          <w:szCs w:val="20"/>
          <w:lang w:val="lt-LT"/>
        </w:rPr>
      </w:pPr>
      <w:r>
        <w:rPr>
          <w:rFonts w:ascii="Times New Roman" w:hAnsi="Times New Roman"/>
          <w:i/>
          <w:sz w:val="20"/>
          <w:szCs w:val="20"/>
          <w:lang w:val="lt-LT"/>
        </w:rPr>
        <w:t xml:space="preserve">       (padalinio vadovas)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(parašas)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(data)</w:t>
      </w:r>
    </w:p>
    <w:p w:rsidR="00EA1861" w:rsidRDefault="00EA1861" w:rsidP="00EA1861">
      <w:pPr>
        <w:spacing w:after="0" w:line="240" w:lineRule="auto"/>
        <w:ind w:left="426" w:hanging="426"/>
        <w:rPr>
          <w:rFonts w:ascii="Times New Roman" w:hAnsi="Times New Roman"/>
          <w:i/>
          <w:sz w:val="20"/>
          <w:szCs w:val="20"/>
          <w:lang w:val="lt-LT"/>
        </w:rPr>
      </w:pPr>
      <w:r>
        <w:rPr>
          <w:rFonts w:ascii="Times New Roman" w:hAnsi="Times New Roman"/>
          <w:i/>
          <w:sz w:val="20"/>
          <w:szCs w:val="20"/>
          <w:lang w:val="lt-LT"/>
        </w:rPr>
        <w:t xml:space="preserve">      _____________________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_________________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______________</w:t>
      </w:r>
    </w:p>
    <w:p w:rsidR="00EA1861" w:rsidRDefault="00EA1861" w:rsidP="00EA1861">
      <w:pPr>
        <w:spacing w:after="0" w:line="240" w:lineRule="auto"/>
        <w:ind w:left="426" w:hanging="426"/>
        <w:rPr>
          <w:rFonts w:ascii="Times New Roman" w:hAnsi="Times New Roman"/>
          <w:i/>
          <w:sz w:val="20"/>
          <w:szCs w:val="20"/>
          <w:lang w:val="lt-LT"/>
        </w:rPr>
      </w:pPr>
      <w:r>
        <w:rPr>
          <w:rFonts w:ascii="Times New Roman" w:hAnsi="Times New Roman"/>
          <w:i/>
          <w:sz w:val="20"/>
          <w:szCs w:val="20"/>
          <w:lang w:val="lt-LT"/>
        </w:rPr>
        <w:t xml:space="preserve">      (finansininkas)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(parašas)</w:t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</w:r>
      <w:r>
        <w:rPr>
          <w:rFonts w:ascii="Times New Roman" w:hAnsi="Times New Roman"/>
          <w:i/>
          <w:sz w:val="20"/>
          <w:szCs w:val="20"/>
          <w:lang w:val="lt-LT"/>
        </w:rPr>
        <w:tab/>
        <w:t>(data)</w:t>
      </w:r>
    </w:p>
    <w:p w:rsidR="00EA1861" w:rsidRDefault="00EA1861" w:rsidP="00EA1861">
      <w:pPr>
        <w:rPr>
          <w:rFonts w:ascii="Calibri" w:hAnsi="Calibri"/>
          <w:lang w:val="en-US"/>
        </w:rPr>
      </w:pPr>
    </w:p>
    <w:p w:rsidR="00776F68" w:rsidRDefault="00776F68"/>
    <w:p w:rsidR="00EA1861" w:rsidRDefault="00EA1861"/>
    <w:p w:rsidR="00EA1861" w:rsidRDefault="00EA1861"/>
    <w:p w:rsidR="00EA1861" w:rsidRDefault="00EA1861"/>
    <w:p w:rsidR="00EA1861" w:rsidRDefault="00EA1861"/>
    <w:p w:rsidR="00EA1861" w:rsidRDefault="00EA1861"/>
    <w:p w:rsidR="00EA1861" w:rsidRDefault="00EA1861"/>
    <w:p w:rsidR="00EA1861" w:rsidRDefault="00EA1861"/>
    <w:p w:rsidR="00EA1861" w:rsidRDefault="00EA1861" w:rsidP="00EA1861">
      <w:pPr>
        <w:spacing w:after="0" w:line="240" w:lineRule="auto"/>
        <w:ind w:left="7200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               Kėdainių rajono savivaldybės administracijos</w:t>
      </w:r>
    </w:p>
    <w:p w:rsidR="00EA1861" w:rsidRDefault="00EA1861" w:rsidP="00EA1861">
      <w:pPr>
        <w:spacing w:after="0" w:line="240" w:lineRule="auto"/>
        <w:ind w:left="7200" w:right="-1523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Viešųjų pirkimų organizavimo taisyklių 2 priedas</w:t>
      </w:r>
    </w:p>
    <w:p w:rsidR="00EA1861" w:rsidRDefault="00EA1861" w:rsidP="00EA1861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:rsidR="00EA1861" w:rsidRDefault="00EA1861" w:rsidP="00EA1861">
      <w:pPr>
        <w:spacing w:after="0" w:line="240" w:lineRule="auto"/>
        <w:ind w:left="86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Kėdainių rajono savivaldybės</w:t>
      </w:r>
    </w:p>
    <w:p w:rsidR="00EA1861" w:rsidRDefault="00EA1861" w:rsidP="00EA1861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administracijos direktoriaus</w:t>
      </w:r>
    </w:p>
    <w:p w:rsidR="00EA1861" w:rsidRDefault="00C2479A" w:rsidP="00EA1861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</w:t>
      </w:r>
      <w:bookmarkStart w:id="0" w:name="_GoBack"/>
      <w:bookmarkEnd w:id="0"/>
      <w:r w:rsidR="0023247F">
        <w:rPr>
          <w:rFonts w:ascii="Times New Roman" w:hAnsi="Times New Roman"/>
          <w:sz w:val="24"/>
          <w:szCs w:val="24"/>
          <w:lang w:val="lt-LT"/>
        </w:rPr>
        <w:t xml:space="preserve">0 </w:t>
      </w:r>
      <w:r w:rsidR="00EA1861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23247F">
        <w:rPr>
          <w:rFonts w:ascii="Times New Roman" w:hAnsi="Times New Roman"/>
          <w:sz w:val="24"/>
          <w:szCs w:val="24"/>
          <w:lang w:val="lt-LT"/>
        </w:rPr>
        <w:t xml:space="preserve">spalio 30 d. įsakymu </w:t>
      </w:r>
      <w:r w:rsidR="00EA1861">
        <w:rPr>
          <w:rFonts w:ascii="Times New Roman" w:hAnsi="Times New Roman"/>
          <w:sz w:val="24"/>
          <w:szCs w:val="24"/>
          <w:lang w:val="lt-LT"/>
        </w:rPr>
        <w:t>Nr. AD-1-</w:t>
      </w:r>
      <w:r w:rsidR="0023247F">
        <w:rPr>
          <w:rFonts w:ascii="Times New Roman" w:hAnsi="Times New Roman"/>
          <w:sz w:val="24"/>
          <w:szCs w:val="24"/>
          <w:lang w:val="lt-LT"/>
        </w:rPr>
        <w:t>1339</w:t>
      </w:r>
      <w:r w:rsidR="00EA1861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:rsidR="00EA1861" w:rsidRDefault="00EA1861" w:rsidP="00EA1861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firstLine="68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/>
          <w:b/>
          <w:caps/>
          <w:sz w:val="24"/>
          <w:szCs w:val="24"/>
          <w:lang w:val="lt-LT"/>
        </w:rPr>
        <w:t>20</w:t>
      </w:r>
      <w:r>
        <w:rPr>
          <w:rFonts w:ascii="Times New Roman" w:hAnsi="Times New Roman"/>
          <w:b/>
          <w:caps/>
          <w:sz w:val="24"/>
          <w:szCs w:val="24"/>
          <w:lang w:val="lt-LT"/>
        </w:rPr>
        <w:softHyphen/>
      </w:r>
      <w:r>
        <w:rPr>
          <w:rFonts w:ascii="Times New Roman" w:hAnsi="Times New Roman"/>
          <w:b/>
          <w:caps/>
          <w:sz w:val="24"/>
          <w:szCs w:val="24"/>
          <w:lang w:val="lt-LT"/>
        </w:rPr>
        <w:softHyphen/>
        <w:t>____  biudžetiniais metais numatomų pirkti Kėdainių rajono savivaldybės administracijos reikmėms reikalingų darbų, prekių ir paslaugų  planas</w:t>
      </w:r>
    </w:p>
    <w:p w:rsidR="00EA1861" w:rsidRDefault="00EA1861" w:rsidP="00EA186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lt-LT"/>
        </w:rPr>
      </w:pPr>
    </w:p>
    <w:tbl>
      <w:tblPr>
        <w:tblW w:w="147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1490"/>
        <w:gridCol w:w="1277"/>
        <w:gridCol w:w="1560"/>
        <w:gridCol w:w="1418"/>
        <w:gridCol w:w="1276"/>
        <w:gridCol w:w="1417"/>
        <w:gridCol w:w="1418"/>
        <w:gridCol w:w="1275"/>
        <w:gridCol w:w="1560"/>
        <w:gridCol w:w="1417"/>
      </w:tblGrid>
      <w:tr w:rsidR="00EA1861" w:rsidTr="00EA1861">
        <w:trPr>
          <w:trHeight w:val="10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Pirkimo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Kodas pagal BVPŽ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Numatomos skirti lėšos (</w:t>
            </w:r>
            <w:proofErr w:type="spellStart"/>
            <w:r>
              <w:rPr>
                <w:rFonts w:ascii="Times New Roman" w:hAnsi="Times New Roman"/>
                <w:b/>
                <w:lang w:val="lt-LT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lang w:val="lt-LT"/>
              </w:rPr>
              <w:t>) 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Numatomos skirti lėšos (</w:t>
            </w:r>
            <w:proofErr w:type="spellStart"/>
            <w:r>
              <w:rPr>
                <w:rFonts w:ascii="Times New Roman" w:hAnsi="Times New Roman"/>
                <w:b/>
                <w:lang w:val="lt-LT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lang w:val="lt-LT"/>
              </w:rPr>
              <w:t>)  be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Numatoma pirkimo pradžia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Numatomas pirkimo būdas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Numatomas pasiūlymų vertinimas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Numatoma prekių pristatymo/ paslaugų suteikimo/ darbų atlikimo trukmė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Numatoma sutarties trukmė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ind w:right="125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Pirkimo iniciatorius</w:t>
            </w:r>
          </w:p>
        </w:tc>
      </w:tr>
      <w:tr w:rsidR="00EA1861" w:rsidTr="00EA186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861" w:rsidRDefault="00EA1861">
            <w:pPr>
              <w:snapToGrid w:val="0"/>
              <w:spacing w:after="0" w:line="240" w:lineRule="auto"/>
              <w:ind w:right="125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lt-LT"/>
              </w:rPr>
            </w:pPr>
            <w:r>
              <w:rPr>
                <w:rFonts w:ascii="Times New Roman" w:hAnsi="Times New Roman"/>
                <w:bCs/>
                <w:i/>
                <w:iCs/>
                <w:lang w:val="lt-LT"/>
              </w:rPr>
              <w:t>11</w:t>
            </w:r>
          </w:p>
        </w:tc>
      </w:tr>
      <w:tr w:rsidR="00EA1861" w:rsidTr="00EA186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napToGrid w:val="0"/>
              <w:spacing w:after="0" w:line="240" w:lineRule="auto"/>
              <w:ind w:right="125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</w:tr>
      <w:tr w:rsidR="00EA1861" w:rsidTr="00EA186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61" w:rsidRDefault="00EA18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1" w:rsidRDefault="00EA1861">
            <w:pPr>
              <w:snapToGrid w:val="0"/>
              <w:spacing w:after="0" w:line="240" w:lineRule="auto"/>
              <w:ind w:right="125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</w:tr>
    </w:tbl>
    <w:p w:rsidR="00EA1861" w:rsidRDefault="00EA1861" w:rsidP="00EA1861">
      <w:pPr>
        <w:spacing w:after="0" w:line="240" w:lineRule="auto"/>
        <w:ind w:right="533"/>
        <w:rPr>
          <w:rFonts w:ascii="Times New Roman" w:eastAsia="Calibri" w:hAnsi="Times New Roman"/>
          <w:b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right="533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Planą parengė:</w:t>
      </w:r>
    </w:p>
    <w:p w:rsidR="00EA1861" w:rsidRDefault="00EA1861" w:rsidP="00EA1861">
      <w:pPr>
        <w:spacing w:after="0" w:line="240" w:lineRule="auto"/>
        <w:ind w:right="533"/>
        <w:rPr>
          <w:rFonts w:ascii="Times New Roman" w:hAnsi="Times New Roman"/>
          <w:b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ind w:right="533"/>
        <w:rPr>
          <w:rFonts w:ascii="Times New Roman" w:hAnsi="Times New Roman"/>
          <w:b/>
          <w:sz w:val="24"/>
          <w:szCs w:val="24"/>
          <w:lang w:val="lt-LT"/>
        </w:rPr>
      </w:pPr>
    </w:p>
    <w:p w:rsidR="00EA1861" w:rsidRDefault="00EA1861" w:rsidP="00EA1861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/>
          <w:sz w:val="24"/>
          <w:szCs w:val="24"/>
          <w:lang w:val="lt-LT"/>
        </w:rPr>
        <w:t>………………………………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..</w:t>
      </w:r>
      <w:r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……………………………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…………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      </w:t>
      </w:r>
      <w:r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……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...…..</w:t>
      </w:r>
    </w:p>
    <w:p w:rsidR="00EA1861" w:rsidRDefault="00EA1861" w:rsidP="00EA1861">
      <w:pPr>
        <w:spacing w:after="0" w:line="240" w:lineRule="auto"/>
        <w:ind w:firstLine="720"/>
        <w:rPr>
          <w:rFonts w:ascii="Calibri" w:hAnsi="Calibri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(pareigos)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(vardas, pavardė)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(parašas)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(data)</w:t>
      </w:r>
    </w:p>
    <w:p w:rsidR="00EA1861" w:rsidRDefault="00EA1861"/>
    <w:sectPr w:rsidR="00EA1861" w:rsidSect="00776F68">
      <w:pgSz w:w="16838" w:h="11906" w:orient="landscape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68"/>
    <w:rsid w:val="0023247F"/>
    <w:rsid w:val="002F0F16"/>
    <w:rsid w:val="00776F68"/>
    <w:rsid w:val="00C2479A"/>
    <w:rsid w:val="00E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30F12-9457-4EFC-BECB-4CD62526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4</cp:revision>
  <dcterms:created xsi:type="dcterms:W3CDTF">2020-11-03T11:48:00Z</dcterms:created>
  <dcterms:modified xsi:type="dcterms:W3CDTF">2020-11-03T14:25:00Z</dcterms:modified>
</cp:coreProperties>
</file>