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D2" w:rsidRPr="00D56BFF" w:rsidRDefault="00F563D2" w:rsidP="00F563D2">
      <w:pPr>
        <w:jc w:val="center"/>
        <w:rPr>
          <w:lang w:val="lt-LT"/>
        </w:rPr>
      </w:pPr>
      <w:r w:rsidRPr="00D56BFF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0pt" o:ole="" fillcolor="window">
            <v:imagedata r:id="rId8" o:title=""/>
          </v:shape>
          <o:OLEObject Type="Embed" ProgID="Imaging.Document" ShapeID="_x0000_i1025" DrawAspect="Content" ObjectID="_1662985345" r:id="rId9"/>
        </w:object>
      </w:r>
    </w:p>
    <w:p w:rsidR="00F563D2" w:rsidRPr="00D56BFF" w:rsidRDefault="00F563D2" w:rsidP="00F563D2">
      <w:pPr>
        <w:pStyle w:val="Paantrat"/>
      </w:pPr>
      <w:r w:rsidRPr="00D56BFF">
        <w:t>KĖDAINIŲ RAJONO SAVIVALDYBĖS TARYBA</w:t>
      </w:r>
    </w:p>
    <w:p w:rsidR="00F563D2" w:rsidRPr="00D56BFF" w:rsidRDefault="00F563D2" w:rsidP="00F563D2">
      <w:pPr>
        <w:jc w:val="center"/>
        <w:rPr>
          <w:b/>
          <w:sz w:val="24"/>
          <w:szCs w:val="24"/>
          <w:lang w:val="lt-LT"/>
        </w:rPr>
      </w:pPr>
    </w:p>
    <w:p w:rsidR="00F563D2" w:rsidRPr="00D56BFF" w:rsidRDefault="00F563D2" w:rsidP="00F563D2">
      <w:pPr>
        <w:jc w:val="center"/>
        <w:rPr>
          <w:b/>
          <w:sz w:val="24"/>
          <w:szCs w:val="24"/>
          <w:lang w:val="lt-LT"/>
        </w:rPr>
      </w:pPr>
      <w:r w:rsidRPr="00D56BFF">
        <w:rPr>
          <w:b/>
          <w:sz w:val="24"/>
          <w:szCs w:val="24"/>
          <w:lang w:val="lt-LT"/>
        </w:rPr>
        <w:t>SPRENDIMAS</w:t>
      </w:r>
    </w:p>
    <w:p w:rsidR="00F563D2" w:rsidRPr="00D56BFF" w:rsidRDefault="00737260" w:rsidP="00F563D2">
      <w:pPr>
        <w:jc w:val="center"/>
        <w:rPr>
          <w:b/>
          <w:caps/>
          <w:sz w:val="24"/>
          <w:szCs w:val="24"/>
          <w:lang w:val="lt-LT"/>
        </w:rPr>
      </w:pPr>
      <w:r w:rsidRPr="00D56BFF">
        <w:rPr>
          <w:b/>
          <w:sz w:val="24"/>
          <w:szCs w:val="24"/>
          <w:lang w:val="lt-LT"/>
        </w:rPr>
        <w:t>DĖL KĖDAINIŲ RAJONO SAVIVALDYBĖS TARYBOS 2020 M. BALANDŽIO 17 D. SPR</w:t>
      </w:r>
      <w:r w:rsidR="00832BFC" w:rsidRPr="00D56BFF">
        <w:rPr>
          <w:b/>
          <w:sz w:val="24"/>
          <w:szCs w:val="24"/>
          <w:lang w:val="lt-LT"/>
        </w:rPr>
        <w:t>E</w:t>
      </w:r>
      <w:r w:rsidRPr="00D56BFF">
        <w:rPr>
          <w:b/>
          <w:sz w:val="24"/>
          <w:szCs w:val="24"/>
          <w:lang w:val="lt-LT"/>
        </w:rPr>
        <w:t>NDIMO NR. TS-86 „</w:t>
      </w:r>
      <w:r w:rsidR="004354F3" w:rsidRPr="00D56BFF">
        <w:rPr>
          <w:b/>
          <w:sz w:val="24"/>
          <w:szCs w:val="24"/>
          <w:lang w:val="lt-LT"/>
        </w:rPr>
        <w:t xml:space="preserve">DĖL </w:t>
      </w:r>
      <w:r w:rsidR="00F962EE" w:rsidRPr="00D56BFF">
        <w:rPr>
          <w:b/>
          <w:sz w:val="24"/>
          <w:szCs w:val="24"/>
          <w:lang w:val="lt-LT"/>
        </w:rPr>
        <w:t>KLASIŲ SKAIČIAUS IR MOKINIŲ SKA</w:t>
      </w:r>
      <w:r w:rsidR="00C74150" w:rsidRPr="00D56BFF">
        <w:rPr>
          <w:b/>
          <w:sz w:val="24"/>
          <w:szCs w:val="24"/>
          <w:lang w:val="lt-LT"/>
        </w:rPr>
        <w:t>IČIAUS JOSE</w:t>
      </w:r>
      <w:r w:rsidR="00F962EE" w:rsidRPr="00D56BFF">
        <w:rPr>
          <w:b/>
          <w:sz w:val="24"/>
          <w:szCs w:val="24"/>
          <w:lang w:val="lt-LT"/>
        </w:rPr>
        <w:t xml:space="preserve">, </w:t>
      </w:r>
      <w:r w:rsidR="00F563D2" w:rsidRPr="00D56BFF">
        <w:rPr>
          <w:b/>
          <w:sz w:val="24"/>
          <w:szCs w:val="24"/>
          <w:lang w:val="lt-LT"/>
        </w:rPr>
        <w:t>PRIEŠMOKYKLIN</w:t>
      </w:r>
      <w:r w:rsidR="005657F0" w:rsidRPr="00D56BFF">
        <w:rPr>
          <w:b/>
          <w:sz w:val="24"/>
          <w:szCs w:val="24"/>
          <w:lang w:val="lt-LT"/>
        </w:rPr>
        <w:t>IO</w:t>
      </w:r>
      <w:r w:rsidR="00433591" w:rsidRPr="00D56BFF">
        <w:rPr>
          <w:b/>
          <w:sz w:val="24"/>
          <w:szCs w:val="24"/>
          <w:lang w:val="lt-LT"/>
        </w:rPr>
        <w:t xml:space="preserve"> UGDYMO GRUPIŲ SKAIČIAUS IR MOKINIŲ SKAIČIAUS JOSE, </w:t>
      </w:r>
      <w:r w:rsidR="00F962EE" w:rsidRPr="00D56BFF">
        <w:rPr>
          <w:b/>
          <w:sz w:val="24"/>
          <w:szCs w:val="24"/>
          <w:lang w:val="lt-LT"/>
        </w:rPr>
        <w:t>IKIMOKYKLINIO UGDYMO</w:t>
      </w:r>
      <w:r w:rsidR="000E590D" w:rsidRPr="00D56BFF">
        <w:rPr>
          <w:b/>
          <w:sz w:val="24"/>
          <w:szCs w:val="24"/>
          <w:lang w:val="lt-LT"/>
        </w:rPr>
        <w:t xml:space="preserve"> GRUPIŲ SKAIČIAUS </w:t>
      </w:r>
      <w:r w:rsidR="00281F00" w:rsidRPr="00D56BFF">
        <w:rPr>
          <w:b/>
          <w:sz w:val="24"/>
          <w:szCs w:val="24"/>
          <w:lang w:val="lt-LT"/>
        </w:rPr>
        <w:t>2020</w:t>
      </w:r>
      <w:r w:rsidR="00AB3163" w:rsidRPr="00D56BFF">
        <w:rPr>
          <w:b/>
          <w:sz w:val="24"/>
          <w:szCs w:val="24"/>
          <w:lang w:val="lt-LT"/>
        </w:rPr>
        <w:t>–</w:t>
      </w:r>
      <w:r w:rsidR="002D4F73" w:rsidRPr="00D56BFF">
        <w:rPr>
          <w:b/>
          <w:sz w:val="24"/>
          <w:szCs w:val="24"/>
          <w:lang w:val="lt-LT"/>
        </w:rPr>
        <w:t>2</w:t>
      </w:r>
      <w:r w:rsidR="00281F00" w:rsidRPr="00D56BFF">
        <w:rPr>
          <w:b/>
          <w:sz w:val="24"/>
          <w:szCs w:val="24"/>
          <w:lang w:val="lt-LT"/>
        </w:rPr>
        <w:t>021</w:t>
      </w:r>
      <w:r w:rsidR="00F563D2" w:rsidRPr="00D56BFF">
        <w:rPr>
          <w:b/>
          <w:sz w:val="24"/>
          <w:szCs w:val="24"/>
          <w:lang w:val="lt-LT"/>
        </w:rPr>
        <w:t xml:space="preserve"> M. </w:t>
      </w:r>
      <w:r w:rsidR="00187BD0" w:rsidRPr="00D56BFF">
        <w:rPr>
          <w:b/>
          <w:sz w:val="24"/>
          <w:szCs w:val="24"/>
          <w:lang w:val="lt-LT"/>
        </w:rPr>
        <w:t>NUSTATYMO</w:t>
      </w:r>
      <w:r w:rsidRPr="00D56BFF">
        <w:rPr>
          <w:b/>
          <w:sz w:val="24"/>
          <w:szCs w:val="24"/>
          <w:lang w:val="lt-LT"/>
        </w:rPr>
        <w:t>“ PAKEITIMO</w:t>
      </w:r>
    </w:p>
    <w:p w:rsidR="00F563D2" w:rsidRPr="00D56BFF" w:rsidRDefault="00F563D2" w:rsidP="00F563D2">
      <w:pPr>
        <w:jc w:val="center"/>
        <w:rPr>
          <w:b/>
          <w:sz w:val="24"/>
          <w:szCs w:val="24"/>
          <w:lang w:val="lt-LT"/>
        </w:rPr>
      </w:pPr>
    </w:p>
    <w:p w:rsidR="00F563D2" w:rsidRPr="00D56BFF" w:rsidRDefault="00737260" w:rsidP="00F563D2">
      <w:pPr>
        <w:jc w:val="center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2020 m. rugsėjo</w:t>
      </w:r>
      <w:r w:rsidR="00281F00" w:rsidRPr="00D56BFF">
        <w:rPr>
          <w:sz w:val="24"/>
          <w:szCs w:val="24"/>
          <w:lang w:val="lt-LT"/>
        </w:rPr>
        <w:t xml:space="preserve"> </w:t>
      </w:r>
      <w:r w:rsidR="005B62A3">
        <w:rPr>
          <w:sz w:val="24"/>
          <w:szCs w:val="24"/>
          <w:lang w:val="lt-LT"/>
        </w:rPr>
        <w:t>25</w:t>
      </w:r>
      <w:r w:rsidR="00281F00" w:rsidRPr="00D56BFF">
        <w:rPr>
          <w:sz w:val="24"/>
          <w:szCs w:val="24"/>
          <w:lang w:val="lt-LT"/>
        </w:rPr>
        <w:t xml:space="preserve"> </w:t>
      </w:r>
      <w:r w:rsidR="00F563D2" w:rsidRPr="00D56BFF">
        <w:rPr>
          <w:sz w:val="24"/>
          <w:szCs w:val="24"/>
          <w:lang w:val="lt-LT"/>
        </w:rPr>
        <w:t>d. Nr</w:t>
      </w:r>
      <w:r w:rsidR="005B62A3">
        <w:rPr>
          <w:sz w:val="24"/>
          <w:szCs w:val="24"/>
          <w:lang w:val="lt-LT"/>
        </w:rPr>
        <w:t>. TS</w:t>
      </w:r>
      <w:r w:rsidR="00AB3163" w:rsidRPr="00D56BFF">
        <w:rPr>
          <w:sz w:val="24"/>
          <w:szCs w:val="24"/>
          <w:lang w:val="lt-LT"/>
        </w:rPr>
        <w:t>-</w:t>
      </w:r>
      <w:r w:rsidR="005B62A3">
        <w:rPr>
          <w:sz w:val="24"/>
          <w:szCs w:val="24"/>
          <w:lang w:val="lt-LT"/>
        </w:rPr>
        <w:t>192</w:t>
      </w:r>
    </w:p>
    <w:p w:rsidR="00F563D2" w:rsidRPr="00D56BFF" w:rsidRDefault="00F563D2" w:rsidP="00F563D2">
      <w:pPr>
        <w:jc w:val="center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Kėdainiai</w:t>
      </w:r>
    </w:p>
    <w:p w:rsidR="00F07B04" w:rsidRPr="00D56BFF" w:rsidRDefault="00F07B04" w:rsidP="00F563D2">
      <w:pPr>
        <w:rPr>
          <w:b/>
          <w:bCs/>
          <w:sz w:val="24"/>
          <w:szCs w:val="24"/>
          <w:lang w:val="lt-LT"/>
        </w:rPr>
      </w:pPr>
    </w:p>
    <w:p w:rsidR="00352246" w:rsidRPr="00D56BFF" w:rsidRDefault="00352246" w:rsidP="00352246">
      <w:pPr>
        <w:ind w:firstLine="720"/>
        <w:jc w:val="both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Vadovaudamasi Lietuvos Respubli</w:t>
      </w:r>
      <w:r w:rsidR="00737260" w:rsidRPr="00D56BFF">
        <w:rPr>
          <w:sz w:val="24"/>
          <w:szCs w:val="24"/>
          <w:lang w:val="lt-LT"/>
        </w:rPr>
        <w:t>kos vietos savivaldos įstatymo 18</w:t>
      </w:r>
      <w:r w:rsidRPr="00D56BFF">
        <w:rPr>
          <w:sz w:val="24"/>
          <w:szCs w:val="24"/>
          <w:lang w:val="lt-LT"/>
        </w:rPr>
        <w:t xml:space="preserve"> straipsnio </w:t>
      </w:r>
      <w:r w:rsidR="00737260" w:rsidRPr="00D56BFF">
        <w:rPr>
          <w:sz w:val="24"/>
          <w:szCs w:val="24"/>
          <w:lang w:val="lt-LT"/>
        </w:rPr>
        <w:t>1 dalimi</w:t>
      </w:r>
      <w:r w:rsidRPr="00D56BFF">
        <w:rPr>
          <w:sz w:val="24"/>
          <w:szCs w:val="24"/>
          <w:lang w:val="lt-LT"/>
        </w:rPr>
        <w:t xml:space="preserve">, </w:t>
      </w:r>
      <w:r w:rsidR="00373304" w:rsidRPr="00D56BFF">
        <w:rPr>
          <w:sz w:val="23"/>
          <w:szCs w:val="23"/>
          <w:lang w:val="lt-LT"/>
        </w:rPr>
        <w:t xml:space="preserve">Mokyklų, vykdančių formaliojo švietimo programas, tinklo kūrimo taisyklių, patvirtintų </w:t>
      </w:r>
      <w:r w:rsidRPr="00D56BFF">
        <w:rPr>
          <w:sz w:val="23"/>
          <w:szCs w:val="23"/>
          <w:lang w:val="lt-LT"/>
        </w:rPr>
        <w:t>Lietuvos Respublikos Vyriausybės 2011 m. birželio 29 d. nutarim</w:t>
      </w:r>
      <w:r w:rsidR="00B9573E" w:rsidRPr="00D56BFF">
        <w:rPr>
          <w:sz w:val="23"/>
          <w:szCs w:val="23"/>
          <w:lang w:val="lt-LT"/>
        </w:rPr>
        <w:t xml:space="preserve">u </w:t>
      </w:r>
      <w:r w:rsidRPr="00D56BFF">
        <w:rPr>
          <w:sz w:val="23"/>
          <w:szCs w:val="23"/>
          <w:lang w:val="lt-LT"/>
        </w:rPr>
        <w:t>Nr.768 „Dėl Mokyklų, vykdančių formaliojo švietimo programas, tinklo kūrimo taisyklių patvirtinimo“ 25.7</w:t>
      </w:r>
      <w:r w:rsidR="00373304" w:rsidRPr="00D56BFF">
        <w:rPr>
          <w:sz w:val="23"/>
          <w:szCs w:val="23"/>
          <w:lang w:val="lt-LT"/>
        </w:rPr>
        <w:t xml:space="preserve"> papunkčiu ir</w:t>
      </w:r>
      <w:r w:rsidRPr="00D56BFF">
        <w:rPr>
          <w:sz w:val="24"/>
          <w:szCs w:val="24"/>
          <w:lang w:val="lt-LT"/>
        </w:rPr>
        <w:t xml:space="preserve"> Priėmimo į valstybinę ir savivaldybės bendrojo ugdymo, profesinio mokymo įstaigą bendrųjų kriterijų sąrašo, patvirtinto Lietuvos Respublikos švietimo ir mokslo ministro </w:t>
      </w:r>
      <w:r w:rsidR="00052CD5" w:rsidRPr="00D56BFF">
        <w:rPr>
          <w:sz w:val="24"/>
          <w:szCs w:val="24"/>
          <w:lang w:val="lt-LT"/>
        </w:rPr>
        <w:t xml:space="preserve">2004 m. birželio 25 d. įsakymu </w:t>
      </w:r>
      <w:r w:rsidR="00954C89" w:rsidRPr="00D56BFF">
        <w:rPr>
          <w:sz w:val="24"/>
          <w:szCs w:val="24"/>
          <w:lang w:val="lt-LT"/>
        </w:rPr>
        <w:t>Nr. ISAK-1019 „Dėl P</w:t>
      </w:r>
      <w:r w:rsidRPr="00D56BFF">
        <w:rPr>
          <w:sz w:val="24"/>
          <w:szCs w:val="24"/>
          <w:lang w:val="lt-LT"/>
        </w:rPr>
        <w:t>riėmimo į valstybinę ir savivaldybės bendrojo ugdymo mokyklą, profesinio mokymo įstaigą bendrųjų k</w:t>
      </w:r>
      <w:r w:rsidR="004354F3" w:rsidRPr="00D56BFF">
        <w:rPr>
          <w:sz w:val="24"/>
          <w:szCs w:val="24"/>
          <w:lang w:val="lt-LT"/>
        </w:rPr>
        <w:t xml:space="preserve">riterijų sąrašo patvirtinimo“, </w:t>
      </w:r>
      <w:r w:rsidRPr="00D56BFF">
        <w:rPr>
          <w:sz w:val="24"/>
          <w:szCs w:val="24"/>
          <w:lang w:val="lt-LT"/>
        </w:rPr>
        <w:t>3 punktu, Kėdai</w:t>
      </w:r>
      <w:r w:rsidR="0048779B" w:rsidRPr="00D56BFF">
        <w:rPr>
          <w:sz w:val="24"/>
          <w:szCs w:val="24"/>
          <w:lang w:val="lt-LT"/>
        </w:rPr>
        <w:t xml:space="preserve">nių rajono savivaldybės taryba </w:t>
      </w:r>
      <w:r w:rsidR="001F105F" w:rsidRPr="00D56BFF">
        <w:rPr>
          <w:sz w:val="24"/>
          <w:szCs w:val="24"/>
          <w:lang w:val="lt-LT"/>
        </w:rPr>
        <w:t xml:space="preserve"> </w:t>
      </w:r>
      <w:r w:rsidRPr="00D56BFF">
        <w:rPr>
          <w:sz w:val="24"/>
          <w:szCs w:val="24"/>
          <w:lang w:val="lt-LT"/>
        </w:rPr>
        <w:t>n u s p r e n d ž i a:</w:t>
      </w:r>
    </w:p>
    <w:p w:rsidR="00B9573E" w:rsidRPr="00D56BFF" w:rsidRDefault="00352246" w:rsidP="00352246">
      <w:pPr>
        <w:jc w:val="both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 xml:space="preserve">         </w:t>
      </w:r>
      <w:r w:rsidR="00F563D2" w:rsidRPr="00D56BFF">
        <w:rPr>
          <w:sz w:val="24"/>
          <w:szCs w:val="24"/>
          <w:lang w:val="lt-LT"/>
        </w:rPr>
        <w:t xml:space="preserve"> </w:t>
      </w:r>
      <w:r w:rsidR="000C7417" w:rsidRPr="00D56BFF">
        <w:rPr>
          <w:sz w:val="24"/>
          <w:szCs w:val="24"/>
          <w:lang w:val="lt-LT"/>
        </w:rPr>
        <w:t xml:space="preserve"> </w:t>
      </w:r>
      <w:r w:rsidR="00737260" w:rsidRPr="00D56BFF">
        <w:rPr>
          <w:sz w:val="24"/>
          <w:szCs w:val="24"/>
          <w:lang w:val="lt-LT"/>
        </w:rPr>
        <w:t xml:space="preserve">Pakeisti </w:t>
      </w:r>
      <w:r w:rsidR="00034AB0" w:rsidRPr="00D56BFF">
        <w:rPr>
          <w:sz w:val="24"/>
          <w:szCs w:val="24"/>
          <w:lang w:val="lt-LT"/>
        </w:rPr>
        <w:t>Kėdainių rajono savivaldybės tarybos 2020 m. balandžio 17 d. sprendimu Nr. TS-86</w:t>
      </w:r>
      <w:r w:rsidR="00001003" w:rsidRPr="00D56BFF">
        <w:rPr>
          <w:sz w:val="24"/>
          <w:szCs w:val="24"/>
          <w:lang w:val="lt-LT"/>
        </w:rPr>
        <w:t xml:space="preserve"> „Dėl Klasių skaičiaus ir mokinių skaičiaus jose, priešmokyklinio ugdymo grupių skaičiaus ir mokinių skaičiaus jose, ikimokyklinio ugdymo grupių skaičiaus 2020–2021</w:t>
      </w:r>
      <w:r w:rsidR="0003034E" w:rsidRPr="00D56BFF">
        <w:rPr>
          <w:sz w:val="24"/>
          <w:szCs w:val="24"/>
          <w:lang w:val="lt-LT"/>
        </w:rPr>
        <w:t xml:space="preserve"> m. n</w:t>
      </w:r>
      <w:r w:rsidR="00001003" w:rsidRPr="00D56BFF">
        <w:rPr>
          <w:sz w:val="24"/>
          <w:szCs w:val="24"/>
          <w:lang w:val="lt-LT"/>
        </w:rPr>
        <w:t xml:space="preserve">ustatymo“ </w:t>
      </w:r>
      <w:r w:rsidR="00C36EFD" w:rsidRPr="00D56BFF">
        <w:rPr>
          <w:sz w:val="24"/>
          <w:szCs w:val="24"/>
          <w:lang w:val="lt-LT"/>
        </w:rPr>
        <w:t>patvirtint</w:t>
      </w:r>
      <w:r w:rsidR="00E7733F" w:rsidRPr="00D56BFF">
        <w:rPr>
          <w:sz w:val="24"/>
          <w:szCs w:val="24"/>
          <w:lang w:val="lt-LT"/>
        </w:rPr>
        <w:t>ą priedą</w:t>
      </w:r>
      <w:r w:rsidR="00B9573E" w:rsidRPr="00D56BFF">
        <w:rPr>
          <w:sz w:val="24"/>
          <w:szCs w:val="24"/>
          <w:lang w:val="lt-LT"/>
        </w:rPr>
        <w:t>:</w:t>
      </w:r>
    </w:p>
    <w:p w:rsidR="00F563D2" w:rsidRPr="00D56BFF" w:rsidRDefault="00B9573E" w:rsidP="00B9573E">
      <w:pPr>
        <w:numPr>
          <w:ilvl w:val="0"/>
          <w:numId w:val="2"/>
        </w:numPr>
        <w:jc w:val="both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Pakeisti</w:t>
      </w:r>
      <w:r w:rsidR="0003034E" w:rsidRPr="00D56BFF">
        <w:rPr>
          <w:sz w:val="24"/>
          <w:szCs w:val="24"/>
          <w:lang w:val="lt-LT"/>
        </w:rPr>
        <w:t xml:space="preserve"> </w:t>
      </w:r>
      <w:r w:rsidRPr="00D56BFF">
        <w:rPr>
          <w:sz w:val="24"/>
          <w:szCs w:val="24"/>
          <w:lang w:val="lt-LT"/>
        </w:rPr>
        <w:t xml:space="preserve">4.1 </w:t>
      </w:r>
      <w:r w:rsidR="00E7733F" w:rsidRPr="00D56BFF">
        <w:rPr>
          <w:sz w:val="24"/>
          <w:szCs w:val="24"/>
          <w:lang w:val="lt-LT"/>
        </w:rPr>
        <w:t>papunktį ir jį</w:t>
      </w:r>
      <w:r w:rsidRPr="00D56BFF">
        <w:rPr>
          <w:sz w:val="24"/>
          <w:szCs w:val="24"/>
          <w:lang w:val="lt-LT"/>
        </w:rPr>
        <w:t xml:space="preserve"> išdėstyti taip:</w:t>
      </w:r>
      <w:r w:rsidR="0003034E" w:rsidRPr="00D56BFF">
        <w:rPr>
          <w:sz w:val="24"/>
          <w:szCs w:val="24"/>
          <w:lang w:val="lt-LT"/>
        </w:rPr>
        <w:t xml:space="preserve"> </w:t>
      </w:r>
    </w:p>
    <w:p w:rsidR="00F563D2" w:rsidRPr="00D56BFF" w:rsidRDefault="00B9573E" w:rsidP="005657F0">
      <w:pPr>
        <w:jc w:val="both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„</w:t>
      </w:r>
      <w:r w:rsidR="000C7417" w:rsidRPr="00D56BFF">
        <w:rPr>
          <w:sz w:val="24"/>
          <w:szCs w:val="24"/>
          <w:lang w:val="lt-LT"/>
        </w:rPr>
        <w:t xml:space="preserve">            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315"/>
        <w:gridCol w:w="854"/>
        <w:gridCol w:w="33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70"/>
        <w:gridCol w:w="465"/>
        <w:gridCol w:w="465"/>
        <w:gridCol w:w="581"/>
      </w:tblGrid>
      <w:tr w:rsidR="00B9573E" w:rsidRPr="00D56BFF" w:rsidTr="00AA16BC">
        <w:trPr>
          <w:trHeight w:val="125"/>
          <w:jc w:val="center"/>
        </w:trPr>
        <w:tc>
          <w:tcPr>
            <w:tcW w:w="753" w:type="dxa"/>
            <w:vMerge w:val="restart"/>
            <w:shd w:val="clear" w:color="auto" w:fill="auto"/>
            <w:vAlign w:val="center"/>
          </w:tcPr>
          <w:p w:rsidR="00B9573E" w:rsidRPr="00D56BFF" w:rsidRDefault="00B9573E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4.1.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F07B04" w:rsidRPr="00D56BFF" w:rsidRDefault="00F07B04" w:rsidP="007714D0">
            <w:pPr>
              <w:rPr>
                <w:lang w:bidi="lo-LA"/>
              </w:rPr>
            </w:pPr>
          </w:p>
          <w:p w:rsidR="00B9573E" w:rsidRPr="00D56BFF" w:rsidRDefault="00B9573E" w:rsidP="007714D0">
            <w:pPr>
              <w:rPr>
                <w:lang w:bidi="lo-LA"/>
              </w:rPr>
            </w:pPr>
            <w:r w:rsidRPr="00D56BFF">
              <w:rPr>
                <w:lang w:bidi="lo-LA"/>
              </w:rPr>
              <w:t>Pernaravos skyrius</w:t>
            </w:r>
          </w:p>
          <w:p w:rsidR="00B9573E" w:rsidRPr="00D56BFF" w:rsidRDefault="00B9573E" w:rsidP="007714D0"/>
        </w:tc>
        <w:tc>
          <w:tcPr>
            <w:tcW w:w="854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sz w:val="18"/>
                <w:szCs w:val="18"/>
                <w:lang w:bidi="lo-LA"/>
              </w:rPr>
            </w:pPr>
            <w:r w:rsidRPr="00D56BFF">
              <w:rPr>
                <w:sz w:val="18"/>
                <w:szCs w:val="18"/>
                <w:lang w:bidi="lo-LA"/>
              </w:rPr>
              <w:t>Klasių sk.</w:t>
            </w:r>
          </w:p>
        </w:tc>
        <w:tc>
          <w:tcPr>
            <w:tcW w:w="33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70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:rsidR="00B9573E" w:rsidRPr="00D56BFF" w:rsidRDefault="00B9573E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  <w:p w:rsidR="00B9573E" w:rsidRPr="00D56BFF" w:rsidRDefault="00B9573E" w:rsidP="00F07B04">
            <w:pPr>
              <w:jc w:val="center"/>
              <w:rPr>
                <w:lang w:bidi="lo-LA"/>
              </w:rPr>
            </w:pPr>
          </w:p>
        </w:tc>
        <w:tc>
          <w:tcPr>
            <w:tcW w:w="581" w:type="dxa"/>
            <w:vMerge w:val="restart"/>
            <w:shd w:val="clear" w:color="auto" w:fill="auto"/>
            <w:vAlign w:val="center"/>
          </w:tcPr>
          <w:p w:rsidR="00B9573E" w:rsidRPr="00D56BFF" w:rsidRDefault="00B9573E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</w:tr>
      <w:tr w:rsidR="00B9573E" w:rsidRPr="00D56BFF" w:rsidTr="00AA16BC">
        <w:trPr>
          <w:trHeight w:val="76"/>
          <w:jc w:val="center"/>
        </w:trPr>
        <w:tc>
          <w:tcPr>
            <w:tcW w:w="753" w:type="dxa"/>
            <w:vMerge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B9573E" w:rsidRPr="00D56BFF" w:rsidRDefault="00B9573E" w:rsidP="007714D0"/>
        </w:tc>
        <w:tc>
          <w:tcPr>
            <w:tcW w:w="854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sz w:val="18"/>
                <w:szCs w:val="18"/>
                <w:lang w:bidi="lo-LA"/>
              </w:rPr>
            </w:pPr>
            <w:r w:rsidRPr="00D56BFF">
              <w:rPr>
                <w:sz w:val="18"/>
                <w:szCs w:val="18"/>
                <w:lang w:bidi="lo-LA"/>
              </w:rPr>
              <w:t>Mokinių sk.</w:t>
            </w:r>
          </w:p>
        </w:tc>
        <w:tc>
          <w:tcPr>
            <w:tcW w:w="33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70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465" w:type="dxa"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2</w:t>
            </w:r>
          </w:p>
        </w:tc>
        <w:tc>
          <w:tcPr>
            <w:tcW w:w="465" w:type="dxa"/>
            <w:vMerge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  <w:tc>
          <w:tcPr>
            <w:tcW w:w="581" w:type="dxa"/>
            <w:vMerge/>
            <w:shd w:val="clear" w:color="auto" w:fill="auto"/>
          </w:tcPr>
          <w:p w:rsidR="00B9573E" w:rsidRPr="00D56BFF" w:rsidRDefault="00B9573E" w:rsidP="007714D0">
            <w:pPr>
              <w:jc w:val="center"/>
              <w:rPr>
                <w:lang w:bidi="lo-LA"/>
              </w:rPr>
            </w:pPr>
          </w:p>
        </w:tc>
      </w:tr>
    </w:tbl>
    <w:p w:rsidR="00F07B04" w:rsidRPr="00D56BFF" w:rsidRDefault="00B9573E" w:rsidP="00AA16BC">
      <w:pPr>
        <w:jc w:val="right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„</w:t>
      </w:r>
    </w:p>
    <w:p w:rsidR="00AE2ED3" w:rsidRPr="00D56BFF" w:rsidRDefault="00AE2ED3" w:rsidP="00F563D2">
      <w:pPr>
        <w:numPr>
          <w:ilvl w:val="0"/>
          <w:numId w:val="2"/>
        </w:numPr>
        <w:jc w:val="both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 xml:space="preserve">Pakeisti 6 </w:t>
      </w:r>
      <w:r w:rsidR="00E7733F" w:rsidRPr="00D56BFF">
        <w:rPr>
          <w:sz w:val="24"/>
          <w:szCs w:val="24"/>
          <w:lang w:val="lt-LT"/>
        </w:rPr>
        <w:t>punktą ir jį</w:t>
      </w:r>
      <w:r w:rsidRPr="00D56BFF">
        <w:rPr>
          <w:sz w:val="24"/>
          <w:szCs w:val="24"/>
          <w:lang w:val="lt-LT"/>
        </w:rPr>
        <w:t xml:space="preserve"> išdėstyti taip:</w:t>
      </w:r>
    </w:p>
    <w:p w:rsidR="00AE2ED3" w:rsidRPr="00D56BFF" w:rsidRDefault="00AE2ED3" w:rsidP="00AE2ED3">
      <w:pPr>
        <w:jc w:val="both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 xml:space="preserve">„            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286"/>
        <w:gridCol w:w="818"/>
        <w:gridCol w:w="545"/>
        <w:gridCol w:w="42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26"/>
        <w:gridCol w:w="500"/>
        <w:gridCol w:w="460"/>
        <w:gridCol w:w="574"/>
      </w:tblGrid>
      <w:tr w:rsidR="00AA16BC" w:rsidRPr="00D56BFF" w:rsidTr="00AA16BC">
        <w:trPr>
          <w:trHeight w:val="184"/>
          <w:jc w:val="center"/>
        </w:trPr>
        <w:tc>
          <w:tcPr>
            <w:tcW w:w="745" w:type="dxa"/>
            <w:vMerge w:val="restart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6.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F07B04" w:rsidRPr="00D56BFF" w:rsidRDefault="00F07B04" w:rsidP="007714D0">
            <w:pPr>
              <w:rPr>
                <w:lang w:bidi="lo-LA"/>
              </w:rPr>
            </w:pPr>
          </w:p>
          <w:p w:rsidR="00E7733F" w:rsidRPr="00D56BFF" w:rsidRDefault="00E7733F" w:rsidP="007714D0">
            <w:r w:rsidRPr="00D56BFF">
              <w:rPr>
                <w:lang w:bidi="lo-LA"/>
              </w:rPr>
              <w:t>Šėtos gimnazija</w:t>
            </w:r>
            <w:r w:rsidRPr="00D56BFF"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:rsidR="00E7733F" w:rsidRPr="00D56BFF" w:rsidRDefault="00E7733F" w:rsidP="007714D0">
            <w:pPr>
              <w:jc w:val="center"/>
              <w:rPr>
                <w:sz w:val="18"/>
                <w:szCs w:val="18"/>
                <w:lang w:bidi="lo-LA"/>
              </w:rPr>
            </w:pPr>
            <w:r w:rsidRPr="00D56BFF">
              <w:rPr>
                <w:sz w:val="18"/>
                <w:szCs w:val="18"/>
                <w:lang w:bidi="lo-LA"/>
              </w:rPr>
              <w:t>Klasių sk.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E7733F" w:rsidRPr="00D56BFF" w:rsidRDefault="00E7733F" w:rsidP="007714D0">
            <w:pPr>
              <w:jc w:val="center"/>
              <w:rPr>
                <w:lang w:bidi="lo-LA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E7733F" w:rsidRPr="00D56BFF" w:rsidRDefault="00E7733F" w:rsidP="007714D0">
            <w:pPr>
              <w:jc w:val="center"/>
              <w:rPr>
                <w:lang w:bidi="lo-LA"/>
              </w:rPr>
            </w:pPr>
          </w:p>
          <w:p w:rsidR="00E7733F" w:rsidRPr="00D56BFF" w:rsidRDefault="00E7733F" w:rsidP="007714D0">
            <w:pPr>
              <w:jc w:val="center"/>
              <w:rPr>
                <w:lang w:bidi="lo-LA"/>
              </w:rPr>
            </w:pP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13</w:t>
            </w:r>
          </w:p>
        </w:tc>
      </w:tr>
      <w:tr w:rsidR="00AA16BC" w:rsidRPr="00D56BFF" w:rsidTr="00AA16BC">
        <w:trPr>
          <w:trHeight w:val="112"/>
          <w:jc w:val="center"/>
        </w:trPr>
        <w:tc>
          <w:tcPr>
            <w:tcW w:w="745" w:type="dxa"/>
            <w:vMerge/>
            <w:shd w:val="clear" w:color="auto" w:fill="auto"/>
          </w:tcPr>
          <w:p w:rsidR="00E7733F" w:rsidRPr="00D56BFF" w:rsidRDefault="00E7733F" w:rsidP="007714D0">
            <w:pPr>
              <w:jc w:val="center"/>
              <w:rPr>
                <w:lang w:bidi="lo-LA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E7733F" w:rsidRPr="00D56BFF" w:rsidRDefault="00E7733F" w:rsidP="007714D0"/>
        </w:tc>
        <w:tc>
          <w:tcPr>
            <w:tcW w:w="818" w:type="dxa"/>
            <w:shd w:val="clear" w:color="auto" w:fill="auto"/>
          </w:tcPr>
          <w:p w:rsidR="00E7733F" w:rsidRPr="00D56BFF" w:rsidRDefault="00E7733F" w:rsidP="007714D0">
            <w:pPr>
              <w:jc w:val="center"/>
              <w:rPr>
                <w:sz w:val="16"/>
                <w:szCs w:val="16"/>
                <w:lang w:bidi="lo-LA"/>
              </w:rPr>
            </w:pPr>
            <w:r w:rsidRPr="00D56BFF">
              <w:rPr>
                <w:sz w:val="16"/>
                <w:szCs w:val="16"/>
                <w:lang w:bidi="lo-LA"/>
              </w:rPr>
              <w:t>Mokinių sk.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E7733F" w:rsidRPr="00D56BFF" w:rsidRDefault="00D91E3B" w:rsidP="00F07B04">
            <w:pPr>
              <w:jc w:val="center"/>
              <w:rPr>
                <w:lang w:bidi="lo-LA"/>
              </w:rPr>
            </w:pPr>
            <w:r>
              <w:rPr>
                <w:lang w:bidi="lo-LA"/>
              </w:rPr>
              <w:t>20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2</w:t>
            </w:r>
            <w:r w:rsidR="00D91E3B">
              <w:rPr>
                <w:lang w:bidi="lo-LA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  <w:r w:rsidR="00D91E3B">
              <w:rPr>
                <w:lang w:bidi="lo-LA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D91E3B" w:rsidP="00F07B04">
            <w:pPr>
              <w:jc w:val="center"/>
              <w:rPr>
                <w:lang w:bidi="lo-LA"/>
              </w:rPr>
            </w:pPr>
            <w:r>
              <w:rPr>
                <w:lang w:bidi="lo-LA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2</w:t>
            </w:r>
            <w:r w:rsidR="00D91E3B">
              <w:rPr>
                <w:lang w:bidi="lo-LA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2</w:t>
            </w:r>
            <w:r w:rsidR="00D91E3B">
              <w:rPr>
                <w:lang w:bidi="lo-LA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  <w:r w:rsidR="00D91E3B">
              <w:rPr>
                <w:lang w:bidi="lo-LA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7733F" w:rsidRPr="00D56BFF" w:rsidRDefault="00E7733F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  <w:r w:rsidR="00D91E3B">
              <w:rPr>
                <w:lang w:bidi="lo-LA"/>
              </w:rPr>
              <w:t>2</w:t>
            </w:r>
          </w:p>
        </w:tc>
        <w:tc>
          <w:tcPr>
            <w:tcW w:w="500" w:type="dxa"/>
            <w:vMerge/>
            <w:shd w:val="clear" w:color="auto" w:fill="auto"/>
          </w:tcPr>
          <w:p w:rsidR="00E7733F" w:rsidRPr="00D56BFF" w:rsidRDefault="00E7733F" w:rsidP="007714D0">
            <w:pPr>
              <w:jc w:val="center"/>
              <w:rPr>
                <w:lang w:bidi="lo-LA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E7733F" w:rsidRPr="00D56BFF" w:rsidRDefault="00E7733F" w:rsidP="007714D0">
            <w:pPr>
              <w:jc w:val="center"/>
              <w:rPr>
                <w:lang w:bidi="lo-LA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E7733F" w:rsidRPr="00D56BFF" w:rsidRDefault="00E7733F" w:rsidP="007714D0">
            <w:pPr>
              <w:jc w:val="center"/>
              <w:rPr>
                <w:lang w:bidi="lo-LA"/>
              </w:rPr>
            </w:pPr>
          </w:p>
        </w:tc>
      </w:tr>
    </w:tbl>
    <w:p w:rsidR="00AE2ED3" w:rsidRPr="00D56BFF" w:rsidRDefault="00AE2ED3" w:rsidP="00AA16BC">
      <w:pPr>
        <w:jc w:val="right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„</w:t>
      </w:r>
    </w:p>
    <w:p w:rsidR="001F105F" w:rsidRPr="00D56BFF" w:rsidRDefault="001F105F" w:rsidP="001F105F">
      <w:pPr>
        <w:numPr>
          <w:ilvl w:val="0"/>
          <w:numId w:val="2"/>
        </w:numPr>
        <w:jc w:val="both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Pakeisti 7.2 papunktį ir jį išdėstyti taip:</w:t>
      </w:r>
    </w:p>
    <w:p w:rsidR="001F105F" w:rsidRPr="00D56BFF" w:rsidRDefault="001F105F" w:rsidP="001F105F">
      <w:pPr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„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40"/>
        <w:gridCol w:w="863"/>
        <w:gridCol w:w="405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8"/>
        <w:gridCol w:w="463"/>
        <w:gridCol w:w="463"/>
        <w:gridCol w:w="579"/>
      </w:tblGrid>
      <w:tr w:rsidR="001F105F" w:rsidRPr="00D56BFF" w:rsidTr="005525B1">
        <w:trPr>
          <w:trHeight w:val="131"/>
          <w:jc w:val="center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1F105F" w:rsidRPr="00D56BFF" w:rsidRDefault="001854E8" w:rsidP="005525B1">
            <w:pPr>
              <w:jc w:val="center"/>
              <w:rPr>
                <w:lang w:bidi="lo-LA"/>
              </w:rPr>
            </w:pPr>
            <w:r>
              <w:rPr>
                <w:lang w:bidi="lo-LA"/>
              </w:rPr>
              <w:t>7</w:t>
            </w:r>
            <w:r w:rsidR="001F105F" w:rsidRPr="00D56BFF">
              <w:rPr>
                <w:lang w:bidi="lo-LA"/>
              </w:rPr>
              <w:t>.</w:t>
            </w:r>
            <w:r>
              <w:rPr>
                <w:lang w:bidi="lo-LA"/>
              </w:rPr>
              <w:t>2</w:t>
            </w:r>
            <w:r w:rsidR="00A83C8F">
              <w:rPr>
                <w:lang w:bidi="lo-LA"/>
              </w:rPr>
              <w:t>.</w:t>
            </w:r>
            <w:bookmarkStart w:id="0" w:name="_GoBack"/>
            <w:bookmarkEnd w:id="0"/>
          </w:p>
        </w:tc>
        <w:tc>
          <w:tcPr>
            <w:tcW w:w="1440" w:type="dxa"/>
            <w:vMerge w:val="restart"/>
            <w:shd w:val="clear" w:color="auto" w:fill="auto"/>
          </w:tcPr>
          <w:p w:rsidR="001F105F" w:rsidRPr="00D56BFF" w:rsidRDefault="001F105F" w:rsidP="005525B1">
            <w:r w:rsidRPr="00D56BFF">
              <w:rPr>
                <w:lang w:bidi="lo-LA"/>
              </w:rPr>
              <w:t xml:space="preserve">Jaunimo skyrius </w:t>
            </w:r>
          </w:p>
        </w:tc>
        <w:tc>
          <w:tcPr>
            <w:tcW w:w="863" w:type="dxa"/>
            <w:shd w:val="clear" w:color="auto" w:fill="auto"/>
          </w:tcPr>
          <w:p w:rsidR="001F105F" w:rsidRPr="00D56BFF" w:rsidRDefault="001F105F" w:rsidP="005525B1">
            <w:pPr>
              <w:jc w:val="center"/>
              <w:rPr>
                <w:sz w:val="18"/>
                <w:szCs w:val="18"/>
                <w:lang w:bidi="lo-LA"/>
              </w:rPr>
            </w:pPr>
            <w:r w:rsidRPr="00D56BFF">
              <w:rPr>
                <w:sz w:val="18"/>
                <w:szCs w:val="18"/>
                <w:lang w:bidi="lo-LA"/>
              </w:rPr>
              <w:t>Klasių sk.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vMerge w:val="restart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vMerge w:val="restart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</w:tr>
      <w:tr w:rsidR="001F105F" w:rsidRPr="00D56BFF" w:rsidTr="005525B1">
        <w:trPr>
          <w:trHeight w:val="79"/>
          <w:jc w:val="center"/>
        </w:trPr>
        <w:tc>
          <w:tcPr>
            <w:tcW w:w="533" w:type="dxa"/>
            <w:vMerge/>
            <w:shd w:val="clear" w:color="auto" w:fill="auto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105F" w:rsidRPr="00D56BFF" w:rsidRDefault="001F105F" w:rsidP="005525B1"/>
        </w:tc>
        <w:tc>
          <w:tcPr>
            <w:tcW w:w="863" w:type="dxa"/>
            <w:shd w:val="clear" w:color="auto" w:fill="auto"/>
          </w:tcPr>
          <w:p w:rsidR="001F105F" w:rsidRPr="00D56BFF" w:rsidRDefault="001F105F" w:rsidP="005525B1">
            <w:pPr>
              <w:jc w:val="center"/>
              <w:rPr>
                <w:sz w:val="16"/>
                <w:szCs w:val="16"/>
                <w:lang w:bidi="lo-LA"/>
              </w:rPr>
            </w:pPr>
            <w:r w:rsidRPr="00D56BFF">
              <w:rPr>
                <w:sz w:val="16"/>
                <w:szCs w:val="16"/>
                <w:lang w:bidi="lo-LA"/>
              </w:rPr>
              <w:t>Mokinių sk.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sz w:val="18"/>
                <w:szCs w:val="18"/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</w:t>
            </w:r>
            <w:r w:rsidR="009F5D9B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9F5D9B" w:rsidP="005525B1">
            <w:pPr>
              <w:jc w:val="center"/>
              <w:rPr>
                <w:lang w:bidi="lo-LA"/>
              </w:rPr>
            </w:pPr>
            <w:r>
              <w:rPr>
                <w:lang w:bidi="lo-LA"/>
              </w:rPr>
              <w:t>10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:rsidR="001F105F" w:rsidRPr="00D56BFF" w:rsidRDefault="001F105F" w:rsidP="005525B1">
            <w:pPr>
              <w:jc w:val="center"/>
              <w:rPr>
                <w:lang w:bidi="lo-LA"/>
              </w:rPr>
            </w:pPr>
          </w:p>
        </w:tc>
      </w:tr>
    </w:tbl>
    <w:p w:rsidR="001F105F" w:rsidRPr="00D56BFF" w:rsidRDefault="001F105F" w:rsidP="005B62A3">
      <w:pPr>
        <w:jc w:val="right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„</w:t>
      </w:r>
    </w:p>
    <w:p w:rsidR="00AE2ED3" w:rsidRPr="00D56BFF" w:rsidRDefault="008907CA" w:rsidP="005B62A3">
      <w:pPr>
        <w:numPr>
          <w:ilvl w:val="0"/>
          <w:numId w:val="2"/>
        </w:numPr>
        <w:ind w:left="0" w:firstLine="0"/>
        <w:jc w:val="both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Pakeisti</w:t>
      </w:r>
      <w:r w:rsidR="00F07B04" w:rsidRPr="00D56BFF">
        <w:rPr>
          <w:sz w:val="24"/>
          <w:szCs w:val="24"/>
          <w:lang w:val="lt-LT"/>
        </w:rPr>
        <w:t xml:space="preserve"> 10 punktą ir jį išdėstyti taip:</w:t>
      </w:r>
    </w:p>
    <w:p w:rsidR="00F07B04" w:rsidRPr="00D56BFF" w:rsidRDefault="00AA16BC" w:rsidP="005B62A3">
      <w:pPr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„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40"/>
        <w:gridCol w:w="863"/>
        <w:gridCol w:w="405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8"/>
        <w:gridCol w:w="463"/>
        <w:gridCol w:w="463"/>
        <w:gridCol w:w="579"/>
      </w:tblGrid>
      <w:tr w:rsidR="00F07B04" w:rsidRPr="00D56BFF" w:rsidTr="00AA16BC">
        <w:trPr>
          <w:trHeight w:val="131"/>
          <w:jc w:val="center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10.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07B04" w:rsidRPr="00D56BFF" w:rsidRDefault="00F07B04" w:rsidP="007714D0">
            <w:r w:rsidRPr="00D56BFF">
              <w:rPr>
                <w:lang w:bidi="lo-LA"/>
              </w:rPr>
              <w:t xml:space="preserve">Kėdainių Juozo Paukštelio progimnazija </w:t>
            </w:r>
          </w:p>
        </w:tc>
        <w:tc>
          <w:tcPr>
            <w:tcW w:w="863" w:type="dxa"/>
            <w:shd w:val="clear" w:color="auto" w:fill="auto"/>
          </w:tcPr>
          <w:p w:rsidR="00F07B04" w:rsidRPr="00D56BFF" w:rsidRDefault="00F07B04" w:rsidP="007714D0">
            <w:pPr>
              <w:jc w:val="center"/>
              <w:rPr>
                <w:sz w:val="18"/>
                <w:szCs w:val="18"/>
                <w:lang w:bidi="lo-LA"/>
              </w:rPr>
            </w:pPr>
            <w:r w:rsidRPr="00D56BFF">
              <w:rPr>
                <w:sz w:val="18"/>
                <w:szCs w:val="18"/>
                <w:lang w:bidi="lo-LA"/>
              </w:rPr>
              <w:t>Klasių sk.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vMerge w:val="restart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vMerge w:val="restart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24</w:t>
            </w:r>
          </w:p>
        </w:tc>
      </w:tr>
      <w:tr w:rsidR="00F07B04" w:rsidRPr="00D56BFF" w:rsidTr="00AA16BC">
        <w:trPr>
          <w:trHeight w:val="79"/>
          <w:jc w:val="center"/>
        </w:trPr>
        <w:tc>
          <w:tcPr>
            <w:tcW w:w="533" w:type="dxa"/>
            <w:vMerge/>
            <w:shd w:val="clear" w:color="auto" w:fill="auto"/>
          </w:tcPr>
          <w:p w:rsidR="00F07B04" w:rsidRPr="00D56BFF" w:rsidRDefault="00F07B04" w:rsidP="007714D0">
            <w:pPr>
              <w:jc w:val="center"/>
              <w:rPr>
                <w:lang w:bidi="lo-L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07B04" w:rsidRPr="00D56BFF" w:rsidRDefault="00F07B04" w:rsidP="007714D0"/>
        </w:tc>
        <w:tc>
          <w:tcPr>
            <w:tcW w:w="863" w:type="dxa"/>
            <w:shd w:val="clear" w:color="auto" w:fill="auto"/>
          </w:tcPr>
          <w:p w:rsidR="00F07B04" w:rsidRPr="00D56BFF" w:rsidRDefault="00F07B04" w:rsidP="007714D0">
            <w:pPr>
              <w:jc w:val="center"/>
              <w:rPr>
                <w:sz w:val="16"/>
                <w:szCs w:val="16"/>
                <w:lang w:bidi="lo-LA"/>
              </w:rPr>
            </w:pPr>
            <w:r w:rsidRPr="00D56BFF">
              <w:rPr>
                <w:sz w:val="16"/>
                <w:szCs w:val="16"/>
                <w:lang w:bidi="lo-LA"/>
              </w:rPr>
              <w:t>Mokinių sk.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sz w:val="18"/>
                <w:szCs w:val="18"/>
                <w:lang w:bidi="lo-LA"/>
              </w:rPr>
            </w:pPr>
            <w:r w:rsidRPr="00D56BFF">
              <w:rPr>
                <w:sz w:val="18"/>
                <w:szCs w:val="18"/>
                <w:lang w:bidi="lo-LA"/>
              </w:rPr>
              <w:t>56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5</w:t>
            </w:r>
            <w:r w:rsidR="009F5D9B">
              <w:rPr>
                <w:lang w:bidi="lo-LA"/>
              </w:rPr>
              <w:t>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68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64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7</w:t>
            </w:r>
            <w:r w:rsidR="009F5D9B">
              <w:rPr>
                <w:lang w:bidi="lo-LA"/>
              </w:rPr>
              <w:t>4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6</w:t>
            </w:r>
            <w:r w:rsidR="009F5D9B">
              <w:rPr>
                <w:lang w:bidi="lo-LA"/>
              </w:rPr>
              <w:t>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9F5D9B" w:rsidP="00F07B04">
            <w:pPr>
              <w:jc w:val="center"/>
              <w:rPr>
                <w:lang w:bidi="lo-LA"/>
              </w:rPr>
            </w:pPr>
            <w:r>
              <w:rPr>
                <w:lang w:bidi="lo-LA"/>
              </w:rPr>
              <w:t>85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  <w:r w:rsidRPr="00D56BFF">
              <w:rPr>
                <w:lang w:bidi="lo-LA"/>
              </w:rPr>
              <w:t>7</w:t>
            </w:r>
            <w:r w:rsidR="009F5D9B">
              <w:rPr>
                <w:lang w:bidi="lo-LA"/>
              </w:rPr>
              <w:t>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F07B04" w:rsidRPr="00D56BFF" w:rsidRDefault="00F07B04" w:rsidP="00F07B04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F07B04" w:rsidRPr="00D56BFF" w:rsidRDefault="00F07B04" w:rsidP="007714D0">
            <w:pPr>
              <w:jc w:val="center"/>
              <w:rPr>
                <w:lang w:bidi="lo-LA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F07B04" w:rsidRPr="00D56BFF" w:rsidRDefault="00F07B04" w:rsidP="007714D0">
            <w:pPr>
              <w:jc w:val="center"/>
              <w:rPr>
                <w:lang w:bidi="lo-LA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:rsidR="00F07B04" w:rsidRPr="00D56BFF" w:rsidRDefault="00F07B04" w:rsidP="007714D0">
            <w:pPr>
              <w:jc w:val="center"/>
              <w:rPr>
                <w:lang w:bidi="lo-LA"/>
              </w:rPr>
            </w:pPr>
          </w:p>
        </w:tc>
      </w:tr>
    </w:tbl>
    <w:p w:rsidR="0005129D" w:rsidRPr="00D56BFF" w:rsidRDefault="00AA16BC" w:rsidP="00AA16BC">
      <w:pPr>
        <w:jc w:val="right"/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„</w:t>
      </w:r>
    </w:p>
    <w:p w:rsidR="005B62A3" w:rsidRDefault="005B62A3" w:rsidP="00F563D2">
      <w:pPr>
        <w:rPr>
          <w:sz w:val="24"/>
          <w:szCs w:val="24"/>
          <w:lang w:val="lt-LT"/>
        </w:rPr>
      </w:pPr>
    </w:p>
    <w:p w:rsidR="00BD474A" w:rsidRDefault="00BD474A" w:rsidP="00F563D2">
      <w:pPr>
        <w:rPr>
          <w:sz w:val="24"/>
          <w:szCs w:val="24"/>
          <w:lang w:val="lt-LT"/>
        </w:rPr>
      </w:pPr>
    </w:p>
    <w:p w:rsidR="00F563D2" w:rsidRPr="00D56BFF" w:rsidRDefault="00F563D2" w:rsidP="00F563D2">
      <w:pPr>
        <w:rPr>
          <w:sz w:val="24"/>
          <w:szCs w:val="24"/>
          <w:lang w:val="lt-LT"/>
        </w:rPr>
      </w:pPr>
      <w:r w:rsidRPr="00D56BFF">
        <w:rPr>
          <w:sz w:val="24"/>
          <w:szCs w:val="24"/>
          <w:lang w:val="lt-LT"/>
        </w:rPr>
        <w:t>Savivaldybės meras</w:t>
      </w:r>
      <w:r w:rsidRPr="00D56BFF">
        <w:rPr>
          <w:sz w:val="24"/>
          <w:szCs w:val="24"/>
          <w:lang w:val="lt-LT"/>
        </w:rPr>
        <w:tab/>
      </w:r>
      <w:r w:rsidRPr="00D56BFF">
        <w:rPr>
          <w:sz w:val="24"/>
          <w:szCs w:val="24"/>
          <w:lang w:val="lt-LT"/>
        </w:rPr>
        <w:tab/>
      </w:r>
      <w:r w:rsidRPr="00D56BFF">
        <w:rPr>
          <w:sz w:val="24"/>
          <w:szCs w:val="24"/>
          <w:lang w:val="lt-LT"/>
        </w:rPr>
        <w:tab/>
      </w:r>
      <w:r w:rsidRPr="00D56BFF">
        <w:rPr>
          <w:sz w:val="24"/>
          <w:szCs w:val="24"/>
          <w:lang w:val="lt-LT"/>
        </w:rPr>
        <w:tab/>
      </w:r>
      <w:r w:rsidR="005B62A3">
        <w:rPr>
          <w:sz w:val="24"/>
          <w:szCs w:val="24"/>
          <w:lang w:val="lt-LT"/>
        </w:rPr>
        <w:t xml:space="preserve">                       Valentinas Tamulis</w:t>
      </w:r>
      <w:r w:rsidRPr="00D56BFF">
        <w:rPr>
          <w:sz w:val="24"/>
          <w:szCs w:val="24"/>
          <w:lang w:val="lt-LT"/>
        </w:rPr>
        <w:tab/>
      </w:r>
    </w:p>
    <w:sectPr w:rsidR="00F563D2" w:rsidRPr="00D56BFF" w:rsidSect="005B62A3">
      <w:pgSz w:w="11906" w:h="16838"/>
      <w:pgMar w:top="1135" w:right="567" w:bottom="567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03" w:rsidRDefault="00855703" w:rsidP="00032F5A">
      <w:r>
        <w:separator/>
      </w:r>
    </w:p>
  </w:endnote>
  <w:endnote w:type="continuationSeparator" w:id="0">
    <w:p w:rsidR="00855703" w:rsidRDefault="00855703" w:rsidP="0003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03" w:rsidRDefault="00855703" w:rsidP="00032F5A">
      <w:r>
        <w:separator/>
      </w:r>
    </w:p>
  </w:footnote>
  <w:footnote w:type="continuationSeparator" w:id="0">
    <w:p w:rsidR="00855703" w:rsidRDefault="00855703" w:rsidP="0003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5316A"/>
    <w:multiLevelType w:val="hybridMultilevel"/>
    <w:tmpl w:val="9270601C"/>
    <w:lvl w:ilvl="0" w:tplc="52342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065370"/>
    <w:multiLevelType w:val="hybridMultilevel"/>
    <w:tmpl w:val="BEC64D28"/>
    <w:lvl w:ilvl="0" w:tplc="FC0CE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7E20B5"/>
    <w:multiLevelType w:val="hybridMultilevel"/>
    <w:tmpl w:val="BEC64D28"/>
    <w:lvl w:ilvl="0" w:tplc="FC0CE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EB650C"/>
    <w:multiLevelType w:val="hybridMultilevel"/>
    <w:tmpl w:val="BEC64D28"/>
    <w:lvl w:ilvl="0" w:tplc="FC0CE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D2"/>
    <w:rsid w:val="00001003"/>
    <w:rsid w:val="0003034E"/>
    <w:rsid w:val="00032F5A"/>
    <w:rsid w:val="00034AB0"/>
    <w:rsid w:val="0005129D"/>
    <w:rsid w:val="00052CD5"/>
    <w:rsid w:val="000C7417"/>
    <w:rsid w:val="000E5465"/>
    <w:rsid w:val="000E590D"/>
    <w:rsid w:val="000F0965"/>
    <w:rsid w:val="00104B16"/>
    <w:rsid w:val="001128BC"/>
    <w:rsid w:val="00117A32"/>
    <w:rsid w:val="00120AA4"/>
    <w:rsid w:val="00125BA7"/>
    <w:rsid w:val="00130484"/>
    <w:rsid w:val="00135DA3"/>
    <w:rsid w:val="00153780"/>
    <w:rsid w:val="001854E8"/>
    <w:rsid w:val="00187BD0"/>
    <w:rsid w:val="001F105F"/>
    <w:rsid w:val="00213E0B"/>
    <w:rsid w:val="00246029"/>
    <w:rsid w:val="002809AB"/>
    <w:rsid w:val="00280D68"/>
    <w:rsid w:val="00281F00"/>
    <w:rsid w:val="002D4F73"/>
    <w:rsid w:val="002E760B"/>
    <w:rsid w:val="00352246"/>
    <w:rsid w:val="003675EC"/>
    <w:rsid w:val="00373304"/>
    <w:rsid w:val="003C5BF3"/>
    <w:rsid w:val="00415E85"/>
    <w:rsid w:val="00424089"/>
    <w:rsid w:val="00432AC2"/>
    <w:rsid w:val="00433591"/>
    <w:rsid w:val="004354F3"/>
    <w:rsid w:val="00444062"/>
    <w:rsid w:val="00466744"/>
    <w:rsid w:val="0048779B"/>
    <w:rsid w:val="004B22CF"/>
    <w:rsid w:val="004C2DDB"/>
    <w:rsid w:val="0052646C"/>
    <w:rsid w:val="00527B70"/>
    <w:rsid w:val="00544EB7"/>
    <w:rsid w:val="005525B1"/>
    <w:rsid w:val="005657F0"/>
    <w:rsid w:val="005824C4"/>
    <w:rsid w:val="00595076"/>
    <w:rsid w:val="005B62A3"/>
    <w:rsid w:val="005C1AE8"/>
    <w:rsid w:val="006117BF"/>
    <w:rsid w:val="00613887"/>
    <w:rsid w:val="00676983"/>
    <w:rsid w:val="00696BCD"/>
    <w:rsid w:val="006A6329"/>
    <w:rsid w:val="006D40AD"/>
    <w:rsid w:val="00737260"/>
    <w:rsid w:val="007566C3"/>
    <w:rsid w:val="007714D0"/>
    <w:rsid w:val="00775AAD"/>
    <w:rsid w:val="007A3C74"/>
    <w:rsid w:val="00800673"/>
    <w:rsid w:val="0083229D"/>
    <w:rsid w:val="00832BFC"/>
    <w:rsid w:val="00855703"/>
    <w:rsid w:val="00884025"/>
    <w:rsid w:val="008907CA"/>
    <w:rsid w:val="00905A3A"/>
    <w:rsid w:val="00926139"/>
    <w:rsid w:val="00954C89"/>
    <w:rsid w:val="009F5D9B"/>
    <w:rsid w:val="00A83C8F"/>
    <w:rsid w:val="00AA16BC"/>
    <w:rsid w:val="00AB1067"/>
    <w:rsid w:val="00AB3163"/>
    <w:rsid w:val="00AC36A7"/>
    <w:rsid w:val="00AD492E"/>
    <w:rsid w:val="00AE2ED3"/>
    <w:rsid w:val="00B275CB"/>
    <w:rsid w:val="00B44A1A"/>
    <w:rsid w:val="00B74FC8"/>
    <w:rsid w:val="00B9573E"/>
    <w:rsid w:val="00BB2566"/>
    <w:rsid w:val="00BD474A"/>
    <w:rsid w:val="00C10676"/>
    <w:rsid w:val="00C36EFD"/>
    <w:rsid w:val="00C74150"/>
    <w:rsid w:val="00C81F22"/>
    <w:rsid w:val="00CC17F1"/>
    <w:rsid w:val="00CF0A17"/>
    <w:rsid w:val="00D56BFF"/>
    <w:rsid w:val="00D91E3B"/>
    <w:rsid w:val="00D97EB8"/>
    <w:rsid w:val="00DD56C6"/>
    <w:rsid w:val="00E0505D"/>
    <w:rsid w:val="00E7733F"/>
    <w:rsid w:val="00EA72A9"/>
    <w:rsid w:val="00F07B04"/>
    <w:rsid w:val="00F5616D"/>
    <w:rsid w:val="00F563D2"/>
    <w:rsid w:val="00F77193"/>
    <w:rsid w:val="00F962EE"/>
    <w:rsid w:val="00FC6D3F"/>
    <w:rsid w:val="00FE5EC7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E23E5-F240-457A-8A8D-48B67D46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3D2"/>
    <w:rPr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qFormat/>
    <w:rsid w:val="00F563D2"/>
    <w:pPr>
      <w:jc w:val="center"/>
    </w:pPr>
    <w:rPr>
      <w:b/>
      <w:sz w:val="24"/>
      <w:lang w:val="lt-LT" w:eastAsia="zh-CN"/>
    </w:rPr>
  </w:style>
  <w:style w:type="paragraph" w:styleId="Debesliotekstas">
    <w:name w:val="Balloon Text"/>
    <w:basedOn w:val="prastasis"/>
    <w:semiHidden/>
    <w:rsid w:val="000C7417"/>
    <w:rPr>
      <w:rFonts w:ascii="Tahoma" w:hAnsi="Tahoma" w:cs="Tahoma"/>
      <w:sz w:val="16"/>
      <w:szCs w:val="16"/>
    </w:rPr>
  </w:style>
  <w:style w:type="paragraph" w:customStyle="1" w:styleId="Diagrama">
    <w:name w:val="Diagrama"/>
    <w:basedOn w:val="prastasis"/>
    <w:rsid w:val="000E590D"/>
    <w:pPr>
      <w:spacing w:after="160" w:line="240" w:lineRule="exact"/>
    </w:pPr>
    <w:rPr>
      <w:rFonts w:ascii="Tahoma" w:hAnsi="Tahoma"/>
      <w:lang w:eastAsia="en-US"/>
    </w:rPr>
  </w:style>
  <w:style w:type="paragraph" w:styleId="Antrats">
    <w:name w:val="header"/>
    <w:basedOn w:val="prastasis"/>
    <w:link w:val="AntratsDiagrama"/>
    <w:rsid w:val="00032F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032F5A"/>
    <w:rPr>
      <w:lang w:val="en-US" w:eastAsia="en-GB"/>
    </w:rPr>
  </w:style>
  <w:style w:type="paragraph" w:styleId="Porat">
    <w:name w:val="footer"/>
    <w:basedOn w:val="prastasis"/>
    <w:link w:val="PoratDiagrama"/>
    <w:rsid w:val="00032F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32F5A"/>
    <w:rPr>
      <w:lang w:val="en-US" w:eastAsia="en-GB"/>
    </w:rPr>
  </w:style>
  <w:style w:type="table" w:styleId="Lentelstinklelis">
    <w:name w:val="Table Grid"/>
    <w:basedOn w:val="prastojilentel"/>
    <w:rsid w:val="00F7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39D8-58A0-4722-B7B6-9332D6CE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Kedainiu raj savivaldybe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</dc:creator>
  <cp:keywords/>
  <cp:lastModifiedBy>Vartotoja</cp:lastModifiedBy>
  <cp:revision>5</cp:revision>
  <cp:lastPrinted>2020-09-29T12:06:00Z</cp:lastPrinted>
  <dcterms:created xsi:type="dcterms:W3CDTF">2020-09-28T10:22:00Z</dcterms:created>
  <dcterms:modified xsi:type="dcterms:W3CDTF">2020-09-30T12:36:00Z</dcterms:modified>
</cp:coreProperties>
</file>