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8453" w14:textId="112AF830" w:rsidR="005B5D97" w:rsidRPr="003B0EC4" w:rsidRDefault="005B5D97" w:rsidP="005B5D97">
      <w:pPr>
        <w:widowControl w:val="0"/>
        <w:suppressLineNumbers/>
        <w:suppressAutoHyphens/>
        <w:spacing w:before="120" w:after="120"/>
        <w:jc w:val="center"/>
        <w:rPr>
          <w:rFonts w:eastAsia="Lucida Sans Unicode" w:cs="Tahoma"/>
          <w:bCs/>
          <w:i/>
          <w:iCs/>
          <w:sz w:val="23"/>
          <w:szCs w:val="23"/>
          <w:lang w:eastAsia="ar-SA"/>
        </w:rPr>
      </w:pPr>
      <w:bookmarkStart w:id="0" w:name="_GoBack"/>
      <w:bookmarkEnd w:id="0"/>
      <w:r w:rsidRPr="003B0EC4">
        <w:rPr>
          <w:rFonts w:eastAsia="Lucida Sans Unicode" w:cs="Tahoma"/>
          <w:i/>
          <w:noProof/>
          <w:sz w:val="23"/>
          <w:szCs w:val="23"/>
          <w:lang w:eastAsia="lt-LT"/>
        </w:rPr>
        <w:drawing>
          <wp:inline distT="0" distB="0" distL="0" distR="0" wp14:anchorId="00B5142E" wp14:editId="7639597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5D7013F5" w14:textId="77777777" w:rsidR="005B5D97" w:rsidRPr="003B0EC4" w:rsidRDefault="005B5D97" w:rsidP="005B5D97">
      <w:pPr>
        <w:widowControl w:val="0"/>
        <w:suppressAutoHyphens/>
        <w:jc w:val="center"/>
        <w:rPr>
          <w:rFonts w:eastAsia="Lucida Sans Unicode"/>
          <w:b/>
          <w:bCs/>
          <w:sz w:val="23"/>
          <w:szCs w:val="23"/>
          <w:lang w:eastAsia="ar-SA"/>
        </w:rPr>
      </w:pPr>
      <w:r w:rsidRPr="003B0EC4">
        <w:rPr>
          <w:rFonts w:eastAsia="Lucida Sans Unicode"/>
          <w:b/>
          <w:bCs/>
          <w:sz w:val="23"/>
          <w:szCs w:val="23"/>
          <w:lang w:eastAsia="ar-SA"/>
        </w:rPr>
        <w:t>KĖDAINIŲ RAJONO SAVIVALDYBĖS TARYBA</w:t>
      </w:r>
    </w:p>
    <w:p w14:paraId="11E7D044" w14:textId="77777777" w:rsidR="003B0EC4" w:rsidRPr="003B0EC4" w:rsidRDefault="003B0EC4" w:rsidP="005B5D97">
      <w:pPr>
        <w:widowControl w:val="0"/>
        <w:suppressAutoHyphens/>
        <w:jc w:val="center"/>
        <w:rPr>
          <w:rFonts w:eastAsia="Lucida Sans Unicode"/>
          <w:b/>
          <w:sz w:val="23"/>
          <w:szCs w:val="23"/>
          <w:lang w:eastAsia="ar-SA"/>
        </w:rPr>
      </w:pPr>
    </w:p>
    <w:p w14:paraId="1EEDC9A6" w14:textId="77777777" w:rsidR="005B5D97" w:rsidRPr="003B0EC4" w:rsidRDefault="005B5D97" w:rsidP="005B5D97">
      <w:pPr>
        <w:widowControl w:val="0"/>
        <w:suppressAutoHyphens/>
        <w:jc w:val="center"/>
        <w:rPr>
          <w:rFonts w:eastAsia="Lucida Sans Unicode"/>
          <w:b/>
          <w:bCs/>
          <w:sz w:val="23"/>
          <w:szCs w:val="23"/>
          <w:lang w:eastAsia="ar-SA"/>
        </w:rPr>
      </w:pPr>
      <w:r w:rsidRPr="003B0EC4">
        <w:rPr>
          <w:rFonts w:eastAsia="Lucida Sans Unicode"/>
          <w:b/>
          <w:bCs/>
          <w:sz w:val="23"/>
          <w:szCs w:val="23"/>
          <w:lang w:eastAsia="ar-SA"/>
        </w:rPr>
        <w:t>SPRENDIMAS</w:t>
      </w:r>
    </w:p>
    <w:p w14:paraId="235D981C" w14:textId="77777777" w:rsidR="005B5D97" w:rsidRPr="003B0EC4" w:rsidRDefault="005B5D97" w:rsidP="005B5D97">
      <w:pPr>
        <w:widowControl w:val="0"/>
        <w:suppressAutoHyphens/>
        <w:jc w:val="center"/>
        <w:rPr>
          <w:rFonts w:eastAsia="Lucida Sans Unicode"/>
          <w:b/>
          <w:caps/>
          <w:sz w:val="23"/>
          <w:szCs w:val="23"/>
          <w:lang w:eastAsia="ar-SA"/>
        </w:rPr>
      </w:pPr>
      <w:bookmarkStart w:id="1" w:name="_Hlk31873681"/>
      <w:r w:rsidRPr="003B0EC4">
        <w:rPr>
          <w:rFonts w:eastAsia="Lucida Sans Unicode"/>
          <w:b/>
          <w:caps/>
          <w:sz w:val="23"/>
          <w:szCs w:val="23"/>
          <w:lang w:eastAsia="ar-SA"/>
        </w:rPr>
        <w:t>DĖL Kėdainių rajono savivaldybės tarybos 2019 m. kovo 29 d. sprendimo Nr. TS-40 „Dėl Kėdainių rajono savivaldybės mokinių nemokamo maitinimo tvarkos aprašo patvirtinimo“ pakeitimo</w:t>
      </w:r>
    </w:p>
    <w:bookmarkEnd w:id="1"/>
    <w:p w14:paraId="6CAB359A" w14:textId="77777777" w:rsidR="003B0EC4" w:rsidRPr="003B0EC4" w:rsidRDefault="003B0EC4" w:rsidP="005B5D97">
      <w:pPr>
        <w:widowControl w:val="0"/>
        <w:suppressAutoHyphens/>
        <w:jc w:val="center"/>
        <w:rPr>
          <w:rFonts w:eastAsia="Lucida Sans Unicode"/>
          <w:b/>
          <w:sz w:val="23"/>
          <w:szCs w:val="23"/>
          <w:lang w:eastAsia="ar-SA"/>
        </w:rPr>
      </w:pPr>
    </w:p>
    <w:p w14:paraId="38DB70E4" w14:textId="4764CD6F" w:rsidR="005B5D97" w:rsidRPr="003B0EC4" w:rsidRDefault="00194494" w:rsidP="005B5D97">
      <w:pPr>
        <w:widowControl w:val="0"/>
        <w:suppressAutoHyphens/>
        <w:spacing w:line="200" w:lineRule="atLeast"/>
        <w:jc w:val="center"/>
        <w:rPr>
          <w:rFonts w:eastAsia="Lucida Sans Unicode"/>
          <w:sz w:val="23"/>
          <w:szCs w:val="23"/>
          <w:lang w:eastAsia="ar-SA"/>
        </w:rPr>
      </w:pPr>
      <w:r>
        <w:rPr>
          <w:rFonts w:eastAsia="Lucida Sans Unicode"/>
          <w:sz w:val="23"/>
          <w:szCs w:val="23"/>
          <w:lang w:eastAsia="ar-SA"/>
        </w:rPr>
        <w:t xml:space="preserve">2020 m. </w:t>
      </w:r>
      <w:r w:rsidR="00136433">
        <w:rPr>
          <w:rFonts w:eastAsia="Lucida Sans Unicode"/>
          <w:sz w:val="23"/>
          <w:szCs w:val="23"/>
          <w:lang w:eastAsia="ar-SA"/>
        </w:rPr>
        <w:t>vasario 28 d. Nr. TS</w:t>
      </w:r>
      <w:r>
        <w:rPr>
          <w:rFonts w:eastAsia="Lucida Sans Unicode"/>
          <w:sz w:val="23"/>
          <w:szCs w:val="23"/>
          <w:lang w:eastAsia="ar-SA"/>
        </w:rPr>
        <w:t>-</w:t>
      </w:r>
      <w:r w:rsidR="00136433">
        <w:rPr>
          <w:rFonts w:eastAsia="Lucida Sans Unicode"/>
          <w:sz w:val="23"/>
          <w:szCs w:val="23"/>
          <w:lang w:eastAsia="ar-SA"/>
        </w:rPr>
        <w:t>18</w:t>
      </w:r>
      <w:r w:rsidR="005B5D97" w:rsidRPr="003B0EC4">
        <w:rPr>
          <w:rFonts w:eastAsia="Lucida Sans Unicode"/>
          <w:sz w:val="23"/>
          <w:szCs w:val="23"/>
          <w:lang w:eastAsia="ar-SA"/>
        </w:rPr>
        <w:t xml:space="preserve">   </w:t>
      </w:r>
    </w:p>
    <w:p w14:paraId="5586A5AE" w14:textId="77777777" w:rsidR="005B5D97" w:rsidRPr="003B0EC4" w:rsidRDefault="005B5D97" w:rsidP="005B5D97">
      <w:pPr>
        <w:widowControl w:val="0"/>
        <w:suppressAutoHyphens/>
        <w:autoSpaceDE w:val="0"/>
        <w:spacing w:line="200" w:lineRule="atLeast"/>
        <w:jc w:val="center"/>
        <w:rPr>
          <w:rFonts w:eastAsia="TimesNewRomanPSMT"/>
          <w:sz w:val="23"/>
          <w:szCs w:val="23"/>
          <w:lang w:eastAsia="ar-SA"/>
        </w:rPr>
      </w:pPr>
      <w:r w:rsidRPr="003B0EC4">
        <w:rPr>
          <w:rFonts w:eastAsia="TimesNewRomanPSMT"/>
          <w:sz w:val="23"/>
          <w:szCs w:val="23"/>
          <w:lang w:eastAsia="ar-SA"/>
        </w:rPr>
        <w:t>Kėdainiai</w:t>
      </w:r>
    </w:p>
    <w:p w14:paraId="6B8CEC00" w14:textId="77777777" w:rsidR="005B5D97" w:rsidRPr="003B0EC4" w:rsidRDefault="005B5D97" w:rsidP="003B0EC4">
      <w:pPr>
        <w:widowControl w:val="0"/>
        <w:suppressAutoHyphens/>
        <w:rPr>
          <w:rFonts w:eastAsia="Lucida Sans Unicode"/>
          <w:sz w:val="23"/>
          <w:szCs w:val="23"/>
          <w:lang w:eastAsia="ar-SA"/>
        </w:rPr>
      </w:pPr>
    </w:p>
    <w:p w14:paraId="1846B264" w14:textId="77777777" w:rsidR="005B5D97" w:rsidRPr="003B0EC4" w:rsidRDefault="005B5D97" w:rsidP="005B5D97">
      <w:pPr>
        <w:ind w:firstLine="720"/>
        <w:jc w:val="both"/>
        <w:rPr>
          <w:sz w:val="23"/>
          <w:szCs w:val="23"/>
          <w:lang w:eastAsia="ar-SA"/>
        </w:rPr>
      </w:pPr>
      <w:r w:rsidRPr="003B0EC4">
        <w:rPr>
          <w:sz w:val="23"/>
          <w:szCs w:val="23"/>
          <w:lang w:eastAsia="ar-SA"/>
        </w:rPr>
        <w:t>Vadovaudamasi Lietuvos Respublikos vietos savivaldos įstatymo 18 straipsnio 1 dalimi, Kėdainių rajono savivaldybės taryba n u s p r e n d ž i a:</w:t>
      </w:r>
    </w:p>
    <w:p w14:paraId="6B365980" w14:textId="77777777" w:rsidR="005B5D97" w:rsidRPr="003B0EC4" w:rsidRDefault="005B5D97" w:rsidP="005B5D97">
      <w:pPr>
        <w:ind w:firstLine="720"/>
        <w:jc w:val="both"/>
        <w:rPr>
          <w:rFonts w:eastAsia="Lucida Sans Unicode"/>
          <w:sz w:val="23"/>
          <w:szCs w:val="23"/>
          <w:lang w:eastAsia="lt-LT"/>
        </w:rPr>
      </w:pPr>
      <w:r w:rsidRPr="003B0EC4">
        <w:rPr>
          <w:rFonts w:eastAsia="Lucida Sans Unicode"/>
          <w:sz w:val="23"/>
          <w:szCs w:val="23"/>
          <w:lang w:eastAsia="ar-SA"/>
        </w:rPr>
        <w:t xml:space="preserve">1. </w:t>
      </w:r>
      <w:r w:rsidRPr="003B0EC4">
        <w:rPr>
          <w:rFonts w:eastAsia="Lucida Sans Unicode"/>
          <w:sz w:val="23"/>
          <w:szCs w:val="23"/>
          <w:lang w:eastAsia="lt-LT"/>
        </w:rPr>
        <w:t xml:space="preserve">Pakeisti </w:t>
      </w:r>
      <w:bookmarkStart w:id="2" w:name="_Hlk27127808"/>
      <w:r w:rsidRPr="003B0EC4">
        <w:rPr>
          <w:rFonts w:eastAsia="Lucida Sans Unicode"/>
          <w:sz w:val="23"/>
          <w:szCs w:val="23"/>
          <w:lang w:eastAsia="lt-LT"/>
        </w:rPr>
        <w:t>Kėdainių rajono savivaldybės mokinių nemokamo maitinimo tvarkos aprašą, patvirtintą Kėdainių rajono savivaldybės tarybos 2019 m. kovo 29 d. sprendimu Nr. TS-40 „Dėl Kėdainių rajono savivaldybės mokinių nemokamo maitinimo tvarkos aprašo patvirtinimo“:</w:t>
      </w:r>
    </w:p>
    <w:bookmarkEnd w:id="2"/>
    <w:p w14:paraId="1F148607"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1.1. 2 punktą išdėstyti taip:</w:t>
      </w:r>
    </w:p>
    <w:p w14:paraId="71667E33"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„2. Šis tvarkos aprašas netaikomas:</w:t>
      </w:r>
    </w:p>
    <w:p w14:paraId="04046B8F"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2.1. mokiniams, kurie mokosi pagal suaugusiųjų ugdymo programas;</w:t>
      </w:r>
    </w:p>
    <w:p w14:paraId="389EF855"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2.2. mokiniams, kurie mokosi ir pagal bendrojo ugdymo, ir pagal profesinio mokymo programas;</w:t>
      </w:r>
    </w:p>
    <w:p w14:paraId="45A9B53D"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 xml:space="preserve">2.3. mokiniams, kurie yra išlaikomi (nemokamai gauna nakvynę, maistą ir mokinio reikmenis) valstybės arba savivaldybės finansuojamose įstaigose, išskyrus Socialinės paramos mokiniams įstatymo 5 straipsnio 3 dalyje nustatytą atvejį; </w:t>
      </w:r>
    </w:p>
    <w:p w14:paraId="1A9AAF44"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2.4. mokiniams, kuriems Lietuvos Respublikos civilinio kodekso nustatyta tvarka nustatyta vaiko laikinoji ar nuolatinė globa (rūpyba), išskyrus Socialinės paramos mokiniams įstatymo 5 straipsnio 3 dalyje nustatytą atvejį.“</w:t>
      </w:r>
    </w:p>
    <w:p w14:paraId="3B428FD5"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1.2. 11 punktą išdėstyti taip:</w:t>
      </w:r>
    </w:p>
    <w:p w14:paraId="0394A6D7" w14:textId="77777777" w:rsidR="005B5D97" w:rsidRPr="003B0EC4" w:rsidRDefault="005B5D97" w:rsidP="005B5D97">
      <w:pPr>
        <w:widowControl w:val="0"/>
        <w:suppressAutoHyphens/>
        <w:autoSpaceDE w:val="0"/>
        <w:ind w:firstLine="709"/>
        <w:jc w:val="both"/>
        <w:rPr>
          <w:rFonts w:eastAsia="TimesNewRomanPSMT"/>
          <w:sz w:val="23"/>
          <w:szCs w:val="23"/>
          <w:u w:color="FFFFFF"/>
          <w:lang w:eastAsia="ar-SA"/>
        </w:rPr>
      </w:pPr>
      <w:r w:rsidRPr="003B0EC4">
        <w:rPr>
          <w:rFonts w:eastAsia="TimesNewRomanPSMT"/>
          <w:sz w:val="23"/>
          <w:szCs w:val="23"/>
          <w:u w:color="FFFFFF"/>
          <w:lang w:eastAsia="ar-SA"/>
        </w:rPr>
        <w:t>„11. Šio tvarkos aprašo 10.3 punkte nustatytoms išlaidoms finansuoti iš valstybės biudžeto specialios tikslinės dotacijos savivaldybių biudžetams papildomai skiriama iki 4 procentų, skaičiuojant nuo šio tvarkos aprašo 10.1 punkte nustatytoms išlaidoms finansuoti skirtų lėšų, dydžio suma. Išlaidoms nemokamam maitinimui administruoti per kalendorinius metus panaudojama ne didesnė lėšų suma negu nustatytas išlaidoms nemokamam maitinimui administruoti skiriamų lėšų procento dydis nuo panaudotų lėšų išlaidoms produktams (įskaitant prekių pirkimo pridėtinės vertės mokestį) finansuoti.“</w:t>
      </w:r>
    </w:p>
    <w:p w14:paraId="78D12C04" w14:textId="77777777" w:rsidR="005B5D97" w:rsidRPr="003B0EC4" w:rsidRDefault="005B5D97" w:rsidP="005B5D97">
      <w:pPr>
        <w:widowControl w:val="0"/>
        <w:suppressAutoHyphens/>
        <w:autoSpaceDE w:val="0"/>
        <w:ind w:firstLine="709"/>
        <w:jc w:val="both"/>
        <w:rPr>
          <w:rFonts w:eastAsia="TimesNewRomanPSMT"/>
          <w:sz w:val="23"/>
          <w:szCs w:val="23"/>
          <w:u w:color="FFFFFF"/>
          <w:lang w:eastAsia="ar-SA"/>
        </w:rPr>
      </w:pPr>
      <w:r w:rsidRPr="003B0EC4">
        <w:rPr>
          <w:rFonts w:eastAsia="TimesNewRomanPSMT"/>
          <w:sz w:val="23"/>
          <w:szCs w:val="23"/>
          <w:u w:color="FFFFFF"/>
          <w:lang w:eastAsia="ar-SA"/>
        </w:rPr>
        <w:t>1.3. 20 punktą išdėstyti taip:</w:t>
      </w:r>
    </w:p>
    <w:p w14:paraId="0B929236" w14:textId="77777777" w:rsidR="005B5D97" w:rsidRPr="003B0EC4" w:rsidRDefault="005B5D97" w:rsidP="005B5D97">
      <w:pPr>
        <w:widowControl w:val="0"/>
        <w:suppressAutoHyphens/>
        <w:autoSpaceDE w:val="0"/>
        <w:ind w:firstLine="709"/>
        <w:jc w:val="both"/>
        <w:rPr>
          <w:rFonts w:eastAsia="TimesNewRomanPSMT"/>
          <w:sz w:val="23"/>
          <w:szCs w:val="23"/>
          <w:u w:color="FFFFFF"/>
          <w:lang w:eastAsia="ar-SA"/>
        </w:rPr>
      </w:pPr>
      <w:r w:rsidRPr="003B0EC4">
        <w:rPr>
          <w:color w:val="000000"/>
          <w:sz w:val="23"/>
          <w:szCs w:val="23"/>
        </w:rPr>
        <w:t>„20. Mokiniams nemokamas maitinimas neteikiamas, jeigu jų tėvai yra atleisti nuo mokėjimo už vaikų maitinimą mokyklų bendrabučiuose</w:t>
      </w:r>
      <w:r w:rsidRPr="003B0EC4">
        <w:rPr>
          <w:sz w:val="23"/>
          <w:szCs w:val="23"/>
        </w:rPr>
        <w:t xml:space="preserve"> </w:t>
      </w:r>
      <w:r w:rsidRPr="003B0EC4">
        <w:rPr>
          <w:color w:val="000000"/>
          <w:sz w:val="23"/>
          <w:szCs w:val="23"/>
        </w:rPr>
        <w:t>išskyrus Socialinės paramos mokiniams įstatymo 5 straipsnio 3 dalyje nustatytą atvejį.“</w:t>
      </w:r>
    </w:p>
    <w:p w14:paraId="10FFE5BB"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r w:rsidRPr="003B0EC4">
        <w:rPr>
          <w:rFonts w:eastAsia="TimesNewRomanPSMT"/>
          <w:sz w:val="23"/>
          <w:szCs w:val="23"/>
          <w:u w:color="FFFFFF"/>
          <w:lang w:eastAsia="ar-SA"/>
        </w:rPr>
        <w:t>1.4. papildyti 6</w:t>
      </w:r>
      <w:r w:rsidRPr="003B0EC4">
        <w:rPr>
          <w:rFonts w:eastAsia="TimesNewRomanPSMT"/>
          <w:sz w:val="23"/>
          <w:szCs w:val="23"/>
          <w:u w:color="FFFFFF"/>
          <w:vertAlign w:val="superscript"/>
          <w:lang w:eastAsia="ar-SA"/>
        </w:rPr>
        <w:t>1</w:t>
      </w:r>
      <w:r w:rsidRPr="003B0EC4">
        <w:rPr>
          <w:rFonts w:eastAsia="TimesNewRomanPSMT"/>
          <w:sz w:val="23"/>
          <w:szCs w:val="23"/>
          <w:u w:color="FFFFFF"/>
          <w:lang w:eastAsia="ar-SA"/>
        </w:rPr>
        <w:t xml:space="preserve"> punktu:</w:t>
      </w:r>
    </w:p>
    <w:p w14:paraId="441CEEAE" w14:textId="77777777" w:rsidR="005B5D97" w:rsidRPr="003B0EC4" w:rsidRDefault="005B5D97" w:rsidP="005B5D97">
      <w:pPr>
        <w:widowControl w:val="0"/>
        <w:suppressAutoHyphens/>
        <w:autoSpaceDE w:val="0"/>
        <w:ind w:firstLine="709"/>
        <w:rPr>
          <w:rFonts w:eastAsia="TimesNewRomanPSMT"/>
          <w:sz w:val="23"/>
          <w:szCs w:val="23"/>
          <w:u w:color="FFFFFF"/>
          <w:lang w:eastAsia="ar-SA"/>
        </w:rPr>
      </w:pPr>
      <w:bookmarkStart w:id="3" w:name="_Hlk31980520"/>
      <w:r w:rsidRPr="003B0EC4">
        <w:rPr>
          <w:rFonts w:eastAsia="TimesNewRomanPSMT"/>
          <w:sz w:val="23"/>
          <w:szCs w:val="23"/>
          <w:u w:color="FFFFFF"/>
          <w:lang w:eastAsia="ar-SA"/>
        </w:rPr>
        <w:t>„6</w:t>
      </w:r>
      <w:r w:rsidRPr="003B0EC4">
        <w:rPr>
          <w:rFonts w:eastAsia="TimesNewRomanPSMT"/>
          <w:sz w:val="23"/>
          <w:szCs w:val="23"/>
          <w:u w:color="FFFFFF"/>
          <w:vertAlign w:val="superscript"/>
          <w:lang w:eastAsia="ar-SA"/>
        </w:rPr>
        <w:t>1</w:t>
      </w:r>
      <w:r w:rsidRPr="003B0EC4">
        <w:rPr>
          <w:rFonts w:eastAsia="TimesNewRomanPSMT"/>
          <w:sz w:val="23"/>
          <w:szCs w:val="23"/>
          <w:u w:color="FFFFFF"/>
          <w:lang w:eastAsia="ar-SA"/>
        </w:rPr>
        <w:t xml:space="preserve">. Mokiniai, kurie mokosi pagal priešmokyklinio ugdymo programą bendrojo ugdymo mokyklose, kuriose maitinimas organizuojamas taikant savitarnos principą Lietuvos Respublikos sveikatos apsaugos ministro nustatyta tvarka, turi teisę į nemokamus pietus, nevertinant gaunamų pajamų.“ </w:t>
      </w:r>
    </w:p>
    <w:p w14:paraId="501F2383" w14:textId="77777777" w:rsidR="00234D4D" w:rsidRPr="003B0EC4" w:rsidRDefault="00234D4D" w:rsidP="00234D4D">
      <w:pPr>
        <w:widowControl w:val="0"/>
        <w:suppressAutoHyphens/>
        <w:autoSpaceDE w:val="0"/>
        <w:ind w:firstLine="709"/>
        <w:rPr>
          <w:rFonts w:eastAsia="TimesNewRomanPSMT"/>
          <w:color w:val="000000" w:themeColor="text1"/>
          <w:sz w:val="23"/>
          <w:szCs w:val="23"/>
          <w:u w:color="FFFFFF"/>
          <w:lang w:eastAsia="ar-SA"/>
        </w:rPr>
      </w:pPr>
      <w:r w:rsidRPr="003B0EC4">
        <w:rPr>
          <w:rFonts w:eastAsia="TimesNewRomanPSMT"/>
          <w:color w:val="000000" w:themeColor="text1"/>
          <w:sz w:val="23"/>
          <w:szCs w:val="23"/>
          <w:u w:color="FFFFFF"/>
          <w:lang w:eastAsia="ar-SA"/>
        </w:rPr>
        <w:t>1.5. pakeisti 6</w:t>
      </w:r>
      <w:r w:rsidRPr="003B0EC4">
        <w:rPr>
          <w:rFonts w:eastAsia="TimesNewRomanPSMT"/>
          <w:color w:val="000000" w:themeColor="text1"/>
          <w:sz w:val="23"/>
          <w:szCs w:val="23"/>
          <w:u w:color="FFFFFF"/>
          <w:vertAlign w:val="superscript"/>
          <w:lang w:eastAsia="ar-SA"/>
        </w:rPr>
        <w:t>1</w:t>
      </w:r>
      <w:r w:rsidRPr="003B0EC4">
        <w:rPr>
          <w:rFonts w:eastAsia="TimesNewRomanPSMT"/>
          <w:color w:val="000000" w:themeColor="text1"/>
          <w:sz w:val="23"/>
          <w:szCs w:val="23"/>
          <w:u w:color="FFFFFF"/>
          <w:lang w:eastAsia="ar-SA"/>
        </w:rPr>
        <w:t xml:space="preserve"> punktą:</w:t>
      </w:r>
    </w:p>
    <w:p w14:paraId="55A234AD" w14:textId="77777777" w:rsidR="00234D4D" w:rsidRPr="003B0EC4" w:rsidRDefault="00234D4D" w:rsidP="00234D4D">
      <w:pPr>
        <w:widowControl w:val="0"/>
        <w:suppressAutoHyphens/>
        <w:autoSpaceDE w:val="0"/>
        <w:ind w:firstLine="709"/>
        <w:rPr>
          <w:rFonts w:eastAsia="TimesNewRomanPSMT"/>
          <w:color w:val="000000" w:themeColor="text1"/>
          <w:sz w:val="23"/>
          <w:szCs w:val="23"/>
          <w:u w:color="FFFFFF"/>
          <w:lang w:eastAsia="ar-SA"/>
        </w:rPr>
      </w:pPr>
      <w:r w:rsidRPr="003B0EC4">
        <w:rPr>
          <w:rFonts w:eastAsia="TimesNewRomanPSMT"/>
          <w:color w:val="000000" w:themeColor="text1"/>
          <w:sz w:val="23"/>
          <w:szCs w:val="23"/>
          <w:u w:color="FFFFFF"/>
          <w:lang w:eastAsia="ar-SA"/>
        </w:rPr>
        <w:t>„6</w:t>
      </w:r>
      <w:r w:rsidRPr="003B0EC4">
        <w:rPr>
          <w:rFonts w:eastAsia="TimesNewRomanPSMT"/>
          <w:color w:val="000000" w:themeColor="text1"/>
          <w:sz w:val="23"/>
          <w:szCs w:val="23"/>
          <w:u w:color="FFFFFF"/>
          <w:vertAlign w:val="superscript"/>
          <w:lang w:eastAsia="ar-SA"/>
        </w:rPr>
        <w:t>1</w:t>
      </w:r>
      <w:r w:rsidRPr="003B0EC4">
        <w:rPr>
          <w:rFonts w:eastAsia="TimesNewRomanPSMT"/>
          <w:color w:val="000000" w:themeColor="text1"/>
          <w:sz w:val="23"/>
          <w:szCs w:val="23"/>
          <w:u w:color="FFFFFF"/>
          <w:lang w:eastAsia="ar-SA"/>
        </w:rPr>
        <w:t xml:space="preserve">. Mokiniai, kurie mokosi mokyklose pagal priešmokyklinio ugdymo programą ar pagal pradinio ugdymo programą pirmoje klasėje, turi teisę į nemokamus pietus, nevertinant gaunamų pajamų.“ </w:t>
      </w:r>
    </w:p>
    <w:p w14:paraId="4ACBB3C1" w14:textId="77777777" w:rsidR="00234D4D" w:rsidRPr="003B0EC4" w:rsidRDefault="00234D4D" w:rsidP="00234D4D">
      <w:pPr>
        <w:widowControl w:val="0"/>
        <w:suppressAutoHyphens/>
        <w:autoSpaceDE w:val="0"/>
        <w:ind w:firstLine="709"/>
        <w:rPr>
          <w:rFonts w:eastAsia="TimesNewRomanPSMT"/>
          <w:color w:val="000000" w:themeColor="text1"/>
          <w:sz w:val="23"/>
          <w:szCs w:val="23"/>
          <w:u w:color="FFFFFF"/>
          <w:lang w:eastAsia="ar-SA"/>
        </w:rPr>
      </w:pPr>
      <w:r w:rsidRPr="003B0EC4">
        <w:rPr>
          <w:rFonts w:eastAsia="TimesNewRomanPSMT"/>
          <w:color w:val="000000" w:themeColor="text1"/>
          <w:sz w:val="23"/>
          <w:szCs w:val="23"/>
          <w:u w:color="FFFFFF"/>
          <w:lang w:eastAsia="ar-SA"/>
        </w:rPr>
        <w:t>2. Šio sprendimo 1.5. papunktis įsigalioja nuo 2020 m. rugsėjo 1 d.</w:t>
      </w:r>
    </w:p>
    <w:p w14:paraId="4368F9E1" w14:textId="77777777" w:rsidR="005B5D97" w:rsidRPr="003B0EC4" w:rsidRDefault="005B5D97" w:rsidP="005B5D97">
      <w:pPr>
        <w:widowControl w:val="0"/>
        <w:suppressAutoHyphens/>
        <w:autoSpaceDE w:val="0"/>
        <w:ind w:left="420"/>
        <w:rPr>
          <w:rFonts w:eastAsia="TimesNewRomanPSMT"/>
          <w:color w:val="000000" w:themeColor="text1"/>
          <w:sz w:val="23"/>
          <w:szCs w:val="23"/>
          <w:u w:color="FFFFFF"/>
          <w:lang w:eastAsia="ar-SA"/>
        </w:rPr>
      </w:pPr>
    </w:p>
    <w:bookmarkEnd w:id="3"/>
    <w:p w14:paraId="2D47054E" w14:textId="77777777" w:rsidR="005B5D97" w:rsidRPr="003B0EC4" w:rsidRDefault="005B5D97" w:rsidP="005B5D97">
      <w:pPr>
        <w:widowControl w:val="0"/>
        <w:suppressAutoHyphens/>
        <w:autoSpaceDE w:val="0"/>
        <w:ind w:left="420"/>
        <w:rPr>
          <w:rFonts w:eastAsia="TimesNewRomanPSMT"/>
          <w:sz w:val="23"/>
          <w:szCs w:val="23"/>
          <w:u w:color="FFFFFF"/>
          <w:lang w:eastAsia="ar-SA"/>
        </w:rPr>
      </w:pPr>
    </w:p>
    <w:p w14:paraId="776863DD" w14:textId="6AF18D1F" w:rsidR="003C5666" w:rsidRPr="003B0EC4" w:rsidRDefault="00D54D4F" w:rsidP="00136433">
      <w:pPr>
        <w:widowControl w:val="0"/>
        <w:tabs>
          <w:tab w:val="left" w:pos="6660"/>
        </w:tabs>
        <w:suppressAutoHyphens/>
        <w:autoSpaceDE w:val="0"/>
        <w:rPr>
          <w:rFonts w:eastAsia="Lucida Sans Unicode"/>
          <w:kern w:val="3"/>
          <w:sz w:val="23"/>
          <w:szCs w:val="23"/>
          <w:lang w:eastAsia="lt-LT"/>
        </w:rPr>
      </w:pPr>
      <w:r>
        <w:rPr>
          <w:rFonts w:ascii="TimesNewRomanPSMT" w:eastAsia="TimesNewRomanPSMT" w:hAnsi="TimesNewRomanPSMT" w:cs="TimesNewRomanPSMT"/>
          <w:sz w:val="23"/>
          <w:szCs w:val="23"/>
          <w:lang w:eastAsia="ar-SA"/>
        </w:rPr>
        <w:t>Savivaldybės meras</w:t>
      </w:r>
      <w:r w:rsidR="005B5D97" w:rsidRPr="003B0EC4">
        <w:rPr>
          <w:rFonts w:eastAsia="TimesNewRomanPSMT"/>
          <w:sz w:val="23"/>
          <w:szCs w:val="23"/>
          <w:u w:color="FFFFFF"/>
          <w:lang w:eastAsia="ar-SA"/>
        </w:rPr>
        <w:tab/>
      </w:r>
      <w:r w:rsidR="00136433">
        <w:rPr>
          <w:rFonts w:eastAsia="TimesNewRomanPSMT"/>
          <w:sz w:val="23"/>
          <w:szCs w:val="23"/>
          <w:u w:color="FFFFFF"/>
          <w:lang w:eastAsia="ar-SA"/>
        </w:rPr>
        <w:t xml:space="preserve">               Valentinas Tamulis</w:t>
      </w:r>
      <w:r w:rsidR="00726842" w:rsidRPr="003B0EC4">
        <w:rPr>
          <w:rFonts w:eastAsia="Lucida Sans Unicode"/>
          <w:kern w:val="3"/>
          <w:sz w:val="23"/>
          <w:szCs w:val="23"/>
          <w:lang w:eastAsia="lt-LT"/>
        </w:rPr>
        <w:t xml:space="preserve"> </w:t>
      </w:r>
    </w:p>
    <w:sectPr w:rsidR="003C5666" w:rsidRPr="003B0EC4" w:rsidSect="005B5D97">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87B66" w14:textId="77777777" w:rsidR="006B3FEB" w:rsidRDefault="006B3FEB">
      <w:pPr>
        <w:textAlignment w:val="baseline"/>
        <w:rPr>
          <w:rFonts w:ascii="Calibri" w:eastAsia="Calibri" w:hAnsi="Calibri"/>
          <w:sz w:val="20"/>
          <w:lang w:val="en-US"/>
        </w:rPr>
      </w:pPr>
      <w:r>
        <w:rPr>
          <w:rFonts w:ascii="Calibri" w:eastAsia="Calibri" w:hAnsi="Calibri"/>
          <w:sz w:val="20"/>
          <w:lang w:val="en-US"/>
        </w:rPr>
        <w:separator/>
      </w:r>
    </w:p>
  </w:endnote>
  <w:endnote w:type="continuationSeparator" w:id="0">
    <w:p w14:paraId="65B6C729" w14:textId="77777777" w:rsidR="006B3FEB" w:rsidRDefault="006B3FEB">
      <w:pPr>
        <w:textAlignment w:val="baseline"/>
        <w:rPr>
          <w:rFonts w:ascii="Calibri" w:eastAsia="Calibri" w:hAnsi="Calibri"/>
          <w:sz w:val="20"/>
          <w:lang w:val="en-US"/>
        </w:rPr>
      </w:pPr>
      <w:r>
        <w:rPr>
          <w:rFonts w:ascii="Calibri" w:eastAsia="Calibri" w:hAnsi="Calibri"/>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10002FF" w:usb1="4000ACFF" w:usb2="00000009"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F30C0" w14:textId="77777777" w:rsidR="003C5666" w:rsidRDefault="003C566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EF1E2" w14:textId="77777777" w:rsidR="003C5666" w:rsidRDefault="003C5666">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A2E3" w14:textId="77777777" w:rsidR="003C5666" w:rsidRDefault="003C566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E22B0" w14:textId="77777777" w:rsidR="006B3FEB" w:rsidRDefault="006B3FEB">
      <w:pPr>
        <w:textAlignment w:val="baseline"/>
        <w:rPr>
          <w:rFonts w:ascii="Calibri" w:eastAsia="Calibri" w:hAnsi="Calibri"/>
          <w:sz w:val="20"/>
          <w:lang w:val="en-US"/>
        </w:rPr>
      </w:pPr>
      <w:r>
        <w:rPr>
          <w:rFonts w:ascii="Calibri" w:eastAsia="Calibri" w:hAnsi="Calibri"/>
          <w:color w:val="000000"/>
          <w:sz w:val="20"/>
          <w:lang w:val="en-US"/>
        </w:rPr>
        <w:separator/>
      </w:r>
    </w:p>
  </w:footnote>
  <w:footnote w:type="continuationSeparator" w:id="0">
    <w:p w14:paraId="4B33ED2B" w14:textId="77777777" w:rsidR="006B3FEB" w:rsidRDefault="006B3FEB">
      <w:pPr>
        <w:textAlignment w:val="baseline"/>
        <w:rPr>
          <w:rFonts w:ascii="Calibri" w:eastAsia="Calibri" w:hAnsi="Calibri"/>
          <w:sz w:val="20"/>
          <w:lang w:val="en-US"/>
        </w:rPr>
      </w:pPr>
      <w:r>
        <w:rPr>
          <w:rFonts w:ascii="Calibri" w:eastAsia="Calibri" w:hAnsi="Calibri"/>
          <w:sz w:val="20"/>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25B6E" w14:textId="77777777" w:rsidR="003C5666" w:rsidRDefault="003C566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E120C" w14:textId="1EC9D89B" w:rsidR="003C5666" w:rsidRDefault="003C5666" w:rsidP="008408B7">
    <w:pPr>
      <w:tabs>
        <w:tab w:val="center" w:pos="4819"/>
        <w:tab w:val="right" w:pos="96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0C01" w14:textId="77777777" w:rsidR="003C5666" w:rsidRDefault="003C566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6B"/>
    <w:rsid w:val="00004F9D"/>
    <w:rsid w:val="0002737E"/>
    <w:rsid w:val="000E1A66"/>
    <w:rsid w:val="00136433"/>
    <w:rsid w:val="00194494"/>
    <w:rsid w:val="002245CA"/>
    <w:rsid w:val="00227B17"/>
    <w:rsid w:val="00234D4D"/>
    <w:rsid w:val="0025106C"/>
    <w:rsid w:val="00266A90"/>
    <w:rsid w:val="0028033E"/>
    <w:rsid w:val="002C6FD5"/>
    <w:rsid w:val="002F475A"/>
    <w:rsid w:val="00322AA6"/>
    <w:rsid w:val="0033056B"/>
    <w:rsid w:val="003611C9"/>
    <w:rsid w:val="003A00D3"/>
    <w:rsid w:val="003B0EC4"/>
    <w:rsid w:val="003C2EED"/>
    <w:rsid w:val="003C5666"/>
    <w:rsid w:val="003E0D2F"/>
    <w:rsid w:val="00430D8F"/>
    <w:rsid w:val="00446E22"/>
    <w:rsid w:val="00447465"/>
    <w:rsid w:val="004712E2"/>
    <w:rsid w:val="00482589"/>
    <w:rsid w:val="004A5254"/>
    <w:rsid w:val="004A5D84"/>
    <w:rsid w:val="005A69D4"/>
    <w:rsid w:val="005B5D97"/>
    <w:rsid w:val="005F22CF"/>
    <w:rsid w:val="00652DA9"/>
    <w:rsid w:val="00670B09"/>
    <w:rsid w:val="00680BB9"/>
    <w:rsid w:val="006B3FEB"/>
    <w:rsid w:val="006F0EF7"/>
    <w:rsid w:val="00726842"/>
    <w:rsid w:val="00751B05"/>
    <w:rsid w:val="00770D01"/>
    <w:rsid w:val="007C5372"/>
    <w:rsid w:val="00816106"/>
    <w:rsid w:val="008408B7"/>
    <w:rsid w:val="00853C78"/>
    <w:rsid w:val="00890224"/>
    <w:rsid w:val="008B08F7"/>
    <w:rsid w:val="008D5E07"/>
    <w:rsid w:val="008E3D07"/>
    <w:rsid w:val="00901851"/>
    <w:rsid w:val="009939CB"/>
    <w:rsid w:val="009B1145"/>
    <w:rsid w:val="009B1CD9"/>
    <w:rsid w:val="009C07B0"/>
    <w:rsid w:val="00A217D7"/>
    <w:rsid w:val="00A81017"/>
    <w:rsid w:val="00A927F9"/>
    <w:rsid w:val="00AC406B"/>
    <w:rsid w:val="00AF266D"/>
    <w:rsid w:val="00AF5CB0"/>
    <w:rsid w:val="00B222BF"/>
    <w:rsid w:val="00B27014"/>
    <w:rsid w:val="00B37A6D"/>
    <w:rsid w:val="00BC2ECC"/>
    <w:rsid w:val="00C86172"/>
    <w:rsid w:val="00CC2914"/>
    <w:rsid w:val="00D261B3"/>
    <w:rsid w:val="00D54D4F"/>
    <w:rsid w:val="00D8598D"/>
    <w:rsid w:val="00E420A0"/>
    <w:rsid w:val="00E937FE"/>
    <w:rsid w:val="00EA3935"/>
    <w:rsid w:val="00F12FF0"/>
    <w:rsid w:val="00F30D91"/>
    <w:rsid w:val="00F54F4C"/>
    <w:rsid w:val="00F6168A"/>
    <w:rsid w:val="00FA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6349"/>
  <w15:docId w15:val="{EC5DEB07-1022-435F-BAFD-4A9EFEC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61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A5254"/>
    <w:rPr>
      <w:color w:val="808080"/>
    </w:rPr>
  </w:style>
  <w:style w:type="paragraph" w:styleId="Debesliotekstas">
    <w:name w:val="Balloon Text"/>
    <w:basedOn w:val="prastasis"/>
    <w:link w:val="DebesliotekstasDiagrama"/>
    <w:rsid w:val="007C5372"/>
    <w:rPr>
      <w:rFonts w:ascii="Segoe UI" w:hAnsi="Segoe UI" w:cs="Segoe UI"/>
      <w:sz w:val="18"/>
      <w:szCs w:val="18"/>
    </w:rPr>
  </w:style>
  <w:style w:type="character" w:customStyle="1" w:styleId="DebesliotekstasDiagrama">
    <w:name w:val="Debesėlio tekstas Diagrama"/>
    <w:basedOn w:val="Numatytasispastraiposriftas"/>
    <w:link w:val="Debesliotekstas"/>
    <w:rsid w:val="007C5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A649-5B9C-4158-802F-E81A26A4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1834</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2875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HP</cp:lastModifiedBy>
  <cp:revision>2</cp:revision>
  <cp:lastPrinted>2020-02-28T14:29:00Z</cp:lastPrinted>
  <dcterms:created xsi:type="dcterms:W3CDTF">2020-03-04T17:52:00Z</dcterms:created>
  <dcterms:modified xsi:type="dcterms:W3CDTF">2020-03-04T17:52:00Z</dcterms:modified>
</cp:coreProperties>
</file>