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03A" w:rsidRDefault="001B703A" w:rsidP="001B703A">
      <w:pPr>
        <w:pStyle w:val="Pavadinimas"/>
        <w:tabs>
          <w:tab w:val="left" w:pos="5040"/>
        </w:tabs>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38599542" r:id="rId6"/>
        </w:object>
      </w:r>
    </w:p>
    <w:p w:rsidR="001B703A" w:rsidRDefault="001B703A" w:rsidP="001B703A">
      <w:pPr>
        <w:pStyle w:val="Pavadinimas"/>
        <w:tabs>
          <w:tab w:val="left" w:pos="5040"/>
        </w:tabs>
      </w:pPr>
    </w:p>
    <w:p w:rsidR="001B703A" w:rsidRDefault="001B703A" w:rsidP="001B703A">
      <w:pPr>
        <w:pStyle w:val="Paantrat"/>
      </w:pPr>
      <w:r>
        <w:t>KĖDAINIŲ RAJONO SAVIVALDYBĖS TARYBA</w:t>
      </w:r>
    </w:p>
    <w:p w:rsidR="001B703A" w:rsidRDefault="001B703A" w:rsidP="001B703A">
      <w:pPr>
        <w:jc w:val="center"/>
        <w:rPr>
          <w:b/>
        </w:rPr>
      </w:pPr>
    </w:p>
    <w:p w:rsidR="001B703A" w:rsidRDefault="001B703A" w:rsidP="001B703A">
      <w:pPr>
        <w:jc w:val="center"/>
        <w:rPr>
          <w:b/>
        </w:rPr>
      </w:pPr>
      <w:r>
        <w:rPr>
          <w:b/>
        </w:rPr>
        <w:t>SPRENDIMAS</w:t>
      </w:r>
    </w:p>
    <w:p w:rsidR="001411DC" w:rsidRDefault="001B703A" w:rsidP="001B703A">
      <w:pPr>
        <w:jc w:val="center"/>
        <w:rPr>
          <w:b/>
        </w:rPr>
      </w:pPr>
      <w:r>
        <w:rPr>
          <w:b/>
        </w:rPr>
        <w:t xml:space="preserve">DĖL </w:t>
      </w:r>
      <w:r w:rsidR="000275AC">
        <w:rPr>
          <w:b/>
        </w:rPr>
        <w:t>KĖDAINIŲ RAJONO SAVIVALDYBĖS TARYBOS 201</w:t>
      </w:r>
      <w:r w:rsidR="00B60830">
        <w:rPr>
          <w:b/>
        </w:rPr>
        <w:t>8</w:t>
      </w:r>
      <w:r w:rsidR="000275AC">
        <w:rPr>
          <w:b/>
        </w:rPr>
        <w:t xml:space="preserve"> M. </w:t>
      </w:r>
      <w:r w:rsidR="001411DC">
        <w:rPr>
          <w:b/>
        </w:rPr>
        <w:t xml:space="preserve">SPALIO </w:t>
      </w:r>
      <w:r w:rsidR="00B60830">
        <w:rPr>
          <w:b/>
        </w:rPr>
        <w:t>2</w:t>
      </w:r>
      <w:r w:rsidR="001411DC">
        <w:rPr>
          <w:b/>
        </w:rPr>
        <w:t>6</w:t>
      </w:r>
      <w:r w:rsidR="00B60830">
        <w:rPr>
          <w:b/>
        </w:rPr>
        <w:t xml:space="preserve"> D. </w:t>
      </w:r>
      <w:r w:rsidR="000275AC">
        <w:rPr>
          <w:b/>
        </w:rPr>
        <w:t>SPRENDIMO NR. TS-1</w:t>
      </w:r>
      <w:r w:rsidR="001411DC">
        <w:rPr>
          <w:b/>
        </w:rPr>
        <w:t>87</w:t>
      </w:r>
      <w:r w:rsidR="000275AC">
        <w:rPr>
          <w:b/>
        </w:rPr>
        <w:t xml:space="preserve"> ,,DĖL </w:t>
      </w:r>
      <w:r>
        <w:rPr>
          <w:b/>
        </w:rPr>
        <w:t xml:space="preserve">KĖDAINIŲ </w:t>
      </w:r>
      <w:r w:rsidR="001411DC">
        <w:rPr>
          <w:b/>
        </w:rPr>
        <w:t>RAJONO SAVIVALDYBĖS NEFORMALIOJO VAIKŲ ŠVIETIMO LĖŠŲ SKYRIMO IR NAUDOJIMO TVARKOS APRAŠO PATVIRTINIMO“ PAKEITIMO</w:t>
      </w:r>
    </w:p>
    <w:p w:rsidR="001B703A" w:rsidRDefault="001B703A" w:rsidP="001B703A">
      <w:pPr>
        <w:jc w:val="center"/>
      </w:pPr>
    </w:p>
    <w:p w:rsidR="001B703A" w:rsidRDefault="001B703A" w:rsidP="001B703A">
      <w:pPr>
        <w:jc w:val="center"/>
      </w:pPr>
      <w:r>
        <w:t>201</w:t>
      </w:r>
      <w:r w:rsidR="00B60830">
        <w:t>9</w:t>
      </w:r>
      <w:r>
        <w:t xml:space="preserve"> m. </w:t>
      </w:r>
      <w:r w:rsidR="001411DC">
        <w:t xml:space="preserve">gruodžio </w:t>
      </w:r>
      <w:r w:rsidR="005A74C6">
        <w:t>2</w:t>
      </w:r>
      <w:r w:rsidR="00FC481F">
        <w:t>0</w:t>
      </w:r>
      <w:r>
        <w:t xml:space="preserve"> d. Nr. </w:t>
      </w:r>
      <w:r w:rsidR="005A74C6">
        <w:t>TS-275</w:t>
      </w:r>
    </w:p>
    <w:p w:rsidR="001B703A" w:rsidRDefault="001B703A" w:rsidP="001B703A">
      <w:pPr>
        <w:jc w:val="center"/>
        <w:rPr>
          <w:bCs/>
        </w:rPr>
      </w:pPr>
      <w:r>
        <w:t>Kėdainiai</w:t>
      </w:r>
    </w:p>
    <w:p w:rsidR="001B703A" w:rsidRDefault="001B703A" w:rsidP="001B703A">
      <w:pPr>
        <w:ind w:firstLine="680"/>
        <w:jc w:val="both"/>
      </w:pPr>
    </w:p>
    <w:p w:rsidR="00A50D4D" w:rsidRPr="00A50D4D" w:rsidRDefault="00A50D4D" w:rsidP="00A50D4D">
      <w:pPr>
        <w:ind w:firstLine="680"/>
        <w:jc w:val="both"/>
      </w:pPr>
      <w:r w:rsidRPr="00A50D4D">
        <w:t>Vadovaudamasi Lietuvos Respublikos vietos savivaldos įstatymo 18 straipsnio 1 dalimi</w:t>
      </w:r>
      <w:r w:rsidR="005727E8">
        <w:t xml:space="preserve"> ir Lietuvos Respublikos </w:t>
      </w:r>
      <w:r w:rsidR="00232D60">
        <w:t>š</w:t>
      </w:r>
      <w:r w:rsidR="005727E8">
        <w:t>vietimo ir mokslo ministro 2018 m. rugsėjo 12</w:t>
      </w:r>
      <w:r w:rsidR="00232D60">
        <w:t xml:space="preserve"> d.</w:t>
      </w:r>
      <w:r w:rsidR="005727E8">
        <w:t xml:space="preserve"> įsakym</w:t>
      </w:r>
      <w:r w:rsidR="00232D60">
        <w:t>u</w:t>
      </w:r>
      <w:r w:rsidR="005727E8">
        <w:t xml:space="preserve"> Nr. V-758 „Dėl Neformaliojo vaikų švietimo lėšų skyrimo ir panaudojimo tvarkos aprašo patvirtinimo“</w:t>
      </w:r>
      <w:r w:rsidRPr="00A50D4D">
        <w:t>, Kėdainių rajono savivaldybės taryba n u s p r e n d ž i a:</w:t>
      </w:r>
    </w:p>
    <w:p w:rsidR="00A50D4D" w:rsidRDefault="00A50D4D" w:rsidP="00A50D4D">
      <w:pPr>
        <w:ind w:firstLine="680"/>
        <w:jc w:val="both"/>
      </w:pPr>
      <w:r w:rsidRPr="00A50D4D">
        <w:t xml:space="preserve">Pakeisti </w:t>
      </w:r>
      <w:r w:rsidR="001411DC" w:rsidRPr="00A50D4D">
        <w:t xml:space="preserve">Kėdainių </w:t>
      </w:r>
      <w:r w:rsidR="001411DC">
        <w:t xml:space="preserve">rajono savivaldybės neformaliojo vaikų švietimo lėšų skyrimo ir naudojimo tvarkos aprašo, priimto </w:t>
      </w:r>
      <w:r w:rsidRPr="00A50D4D">
        <w:t xml:space="preserve">Kėdainių rajono savivaldybės tarybos 2018 m. </w:t>
      </w:r>
      <w:r w:rsidR="001411DC">
        <w:t xml:space="preserve">spalio </w:t>
      </w:r>
      <w:r w:rsidRPr="00A50D4D">
        <w:t>2</w:t>
      </w:r>
      <w:r w:rsidR="001411DC">
        <w:t>6</w:t>
      </w:r>
      <w:r w:rsidRPr="00A50D4D">
        <w:t xml:space="preserve"> d. sprendim</w:t>
      </w:r>
      <w:r w:rsidR="001411DC">
        <w:t>u</w:t>
      </w:r>
      <w:r w:rsidRPr="00A50D4D">
        <w:t xml:space="preserve"> Nr. TS-1</w:t>
      </w:r>
      <w:r w:rsidR="001411DC">
        <w:t>87</w:t>
      </w:r>
      <w:r w:rsidRPr="00A50D4D">
        <w:t xml:space="preserve"> ,,Dėl Kėdainių </w:t>
      </w:r>
      <w:r w:rsidR="001411DC">
        <w:t xml:space="preserve">rajono savivaldybės neformaliojo vaikų švietimo lėšų skyrimo ir naudojimo tvarkos aprašo patvirtinimo“, </w:t>
      </w:r>
      <w:r w:rsidR="002C7EE9">
        <w:t>3. 4.4, 4.5, 10, 15, 18, 21, 22, 27, 40, 41, 42 ir 45</w:t>
      </w:r>
      <w:r w:rsidR="001411DC">
        <w:t xml:space="preserve"> </w:t>
      </w:r>
      <w:r w:rsidRPr="00A50D4D">
        <w:t>papunkči</w:t>
      </w:r>
      <w:r w:rsidR="001411DC">
        <w:t xml:space="preserve">us, papildyti </w:t>
      </w:r>
      <w:r w:rsidR="0044369A">
        <w:t>10</w:t>
      </w:r>
      <w:r w:rsidR="0044369A" w:rsidRPr="0044369A">
        <w:rPr>
          <w:vertAlign w:val="superscript"/>
        </w:rPr>
        <w:t>1</w:t>
      </w:r>
      <w:r w:rsidR="0044369A">
        <w:rPr>
          <w:vertAlign w:val="superscript"/>
        </w:rPr>
        <w:t xml:space="preserve"> </w:t>
      </w:r>
      <w:r w:rsidR="001411DC">
        <w:t xml:space="preserve">papunkčiu </w:t>
      </w:r>
      <w:r w:rsidRPr="00A50D4D">
        <w:t>ir juos išdėstyti taip:</w:t>
      </w:r>
    </w:p>
    <w:p w:rsidR="001411DC" w:rsidRDefault="001411DC" w:rsidP="00A50D4D">
      <w:pPr>
        <w:ind w:firstLine="680"/>
        <w:jc w:val="both"/>
      </w:pPr>
      <w:r>
        <w:t xml:space="preserve">„3. </w:t>
      </w:r>
      <w:r w:rsidRPr="007B3FA0">
        <w:t>Skiriamų NVŠ lėšų dydis nustatomas Lietuvos Respublikos švietimo</w:t>
      </w:r>
      <w:r>
        <w:t xml:space="preserve">, </w:t>
      </w:r>
      <w:r w:rsidRPr="007B3FA0">
        <w:t xml:space="preserve">mokslo </w:t>
      </w:r>
      <w:r>
        <w:t xml:space="preserve">ir sporto </w:t>
      </w:r>
      <w:r w:rsidRPr="007B3FA0">
        <w:t>ministro įsakymu.</w:t>
      </w:r>
      <w:r>
        <w:t>“;</w:t>
      </w:r>
    </w:p>
    <w:p w:rsidR="001411DC" w:rsidRDefault="001411DC" w:rsidP="00A50D4D">
      <w:pPr>
        <w:ind w:firstLine="680"/>
        <w:jc w:val="both"/>
      </w:pPr>
      <w:r>
        <w:t>„</w:t>
      </w:r>
      <w:r w:rsidR="0044369A">
        <w:t>4.4. atitinka higienos normas ir teisės aktų nustatytus mokinių saugos bei sveikatos reikalavimus;“;</w:t>
      </w:r>
    </w:p>
    <w:p w:rsidR="0044369A" w:rsidRDefault="0044369A" w:rsidP="00A50D4D">
      <w:pPr>
        <w:ind w:firstLine="680"/>
        <w:jc w:val="both"/>
      </w:pPr>
      <w:r>
        <w:t>„4.5. turi mokytojų, pagal Lietuvos Respublikos švietimo įstatymą turinčių teisę teikti švietimo paslaugas pagal neformaliojo vaikų švietimo programas.“;</w:t>
      </w:r>
    </w:p>
    <w:p w:rsidR="0044369A" w:rsidRDefault="0044369A" w:rsidP="00A50D4D">
      <w:pPr>
        <w:ind w:firstLine="680"/>
        <w:jc w:val="both"/>
      </w:pPr>
      <w:r>
        <w:t>„10. 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r w:rsidR="004731DF">
        <w:t>“</w:t>
      </w:r>
      <w:r>
        <w:t>;</w:t>
      </w:r>
    </w:p>
    <w:p w:rsidR="0044369A" w:rsidRDefault="0044369A" w:rsidP="00A50D4D">
      <w:pPr>
        <w:ind w:firstLine="680"/>
        <w:jc w:val="both"/>
      </w:pPr>
      <w:r>
        <w:t>„10</w:t>
      </w:r>
      <w:r w:rsidRPr="0044369A">
        <w:rPr>
          <w:vertAlign w:val="superscript"/>
        </w:rPr>
        <w:t>1</w:t>
      </w:r>
      <w:r>
        <w:t xml:space="preserve">. Finansuojant NVŠ programas, prioritetas teikiamas </w:t>
      </w:r>
      <w:r>
        <w:rPr>
          <w:bCs/>
        </w:rPr>
        <w:t>STEAM</w:t>
      </w:r>
      <w:r>
        <w:rPr>
          <w:bCs/>
          <w:iCs/>
        </w:rPr>
        <w:t xml:space="preserve"> (</w:t>
      </w:r>
      <w:r>
        <w:rPr>
          <w:bCs/>
        </w:rPr>
        <w:t>angl.</w:t>
      </w:r>
      <w:r>
        <w:rPr>
          <w:bCs/>
          <w:iCs/>
        </w:rPr>
        <w:t xml:space="preserve"> </w:t>
      </w:r>
      <w:proofErr w:type="spellStart"/>
      <w:r>
        <w:rPr>
          <w:bCs/>
          <w:iCs/>
        </w:rPr>
        <w:t>Science</w:t>
      </w:r>
      <w:proofErr w:type="spellEnd"/>
      <w:r>
        <w:rPr>
          <w:bCs/>
          <w:iCs/>
        </w:rPr>
        <w:t xml:space="preserve">, </w:t>
      </w:r>
      <w:proofErr w:type="spellStart"/>
      <w:r>
        <w:rPr>
          <w:bCs/>
          <w:iCs/>
        </w:rPr>
        <w:t>Technology</w:t>
      </w:r>
      <w:proofErr w:type="spellEnd"/>
      <w:r>
        <w:rPr>
          <w:bCs/>
          <w:iCs/>
        </w:rPr>
        <w:t xml:space="preserve">, </w:t>
      </w:r>
      <w:proofErr w:type="spellStart"/>
      <w:r>
        <w:rPr>
          <w:bCs/>
          <w:iCs/>
        </w:rPr>
        <w:t>Engineering</w:t>
      </w:r>
      <w:proofErr w:type="spellEnd"/>
      <w:r>
        <w:rPr>
          <w:bCs/>
          <w:iCs/>
        </w:rPr>
        <w:t>, Art (</w:t>
      </w:r>
      <w:proofErr w:type="spellStart"/>
      <w:r>
        <w:rPr>
          <w:bCs/>
          <w:iCs/>
        </w:rPr>
        <w:t>creative</w:t>
      </w:r>
      <w:proofErr w:type="spellEnd"/>
      <w:r>
        <w:rPr>
          <w:bCs/>
          <w:iCs/>
        </w:rPr>
        <w:t xml:space="preserve"> </w:t>
      </w:r>
      <w:proofErr w:type="spellStart"/>
      <w:r>
        <w:rPr>
          <w:bCs/>
          <w:iCs/>
        </w:rPr>
        <w:t>activities</w:t>
      </w:r>
      <w:proofErr w:type="spellEnd"/>
      <w:r>
        <w:rPr>
          <w:bCs/>
          <w:iCs/>
        </w:rPr>
        <w:t xml:space="preserve">), </w:t>
      </w:r>
      <w:proofErr w:type="spellStart"/>
      <w:r>
        <w:rPr>
          <w:bCs/>
          <w:iCs/>
        </w:rPr>
        <w:t>Mathematics</w:t>
      </w:r>
      <w:proofErr w:type="spellEnd"/>
      <w:r>
        <w:rPr>
          <w:bCs/>
        </w:rPr>
        <w:t xml:space="preserve">) krypties </w:t>
      </w:r>
      <w:r>
        <w:t xml:space="preserve">NVŠ programoms, skatinančioms </w:t>
      </w:r>
      <w:r>
        <w:rPr>
          <w:color w:val="000000"/>
        </w:rPr>
        <w:t xml:space="preserve">gamtos mokslų, technologijų, inžinerijos ir matematikos tyrimų ir eksperimentines veiklas, </w:t>
      </w:r>
      <w:r>
        <w:t>ir toms programų kryptims, kurių nevykdo švietimo teikėjai, veikiantys Savivaldybėje.</w:t>
      </w:r>
      <w:r w:rsidR="00973845">
        <w:t xml:space="preserve"> Kitas p</w:t>
      </w:r>
      <w:r w:rsidR="00973845" w:rsidRPr="007B3FA0">
        <w:t>rioritetines NVŠ programų kryptis ir (ar) vaikų pirmumo teisės naudotis NVŠ lėšomis kriterijus Savivaldybėje gali nustatyti Savivaldybės administracijos direktorius</w:t>
      </w:r>
      <w:r w:rsidR="00973845">
        <w:t>.</w:t>
      </w:r>
      <w:r>
        <w:t>“;</w:t>
      </w:r>
    </w:p>
    <w:p w:rsidR="00973845" w:rsidRDefault="00973845" w:rsidP="00A50D4D">
      <w:pPr>
        <w:ind w:firstLine="680"/>
        <w:jc w:val="both"/>
      </w:pPr>
      <w:r>
        <w:t xml:space="preserve">„15. </w:t>
      </w:r>
      <w:r w:rsidRPr="007B3FA0">
        <w:t xml:space="preserve">Savivaldybės administracijos Švietimo </w:t>
      </w:r>
      <w:r>
        <w:t>skyrius skelbia kvietimą NVŠ teikėjams teikti parengtas NVŠ programos atitikties reikalavimams paraiškas.“;</w:t>
      </w:r>
    </w:p>
    <w:p w:rsidR="00BA4A8E" w:rsidRDefault="00BA4A8E" w:rsidP="00A50D4D">
      <w:pPr>
        <w:ind w:firstLine="680"/>
        <w:jc w:val="both"/>
      </w:pPr>
      <w:r>
        <w:t>„18. Savivaldybės administracijos Švietimo skyrius:“;</w:t>
      </w:r>
    </w:p>
    <w:p w:rsidR="00BA4A8E" w:rsidRDefault="00BA4A8E" w:rsidP="00A50D4D">
      <w:pPr>
        <w:ind w:firstLine="680"/>
        <w:jc w:val="both"/>
      </w:pPr>
      <w:r>
        <w:t>„21. Savivaldybės administracijos direktorius, atsižvelgdamas į Komisijos siūlymą, priima sprendimą dėl NVŠ programos atitikties reikalavimams. Esant pažeidimams dėl programos vykdymo proceso, ugdymo kokybės, atsiskaitymo už panaudotas lėšas ir kt., Savivaldybės administracijos Švietimo skyriaus siūlymu bei Savivaldybės administracijos direktoriaus sprendimu programos atitiktis panaikinama. Nustačius, kad NVŠ programos teikėjas netinkamai atsiskaitė už programoms vykdyti panaudotas lėšas arba skirtos lėšos pripažintos netinkamomis programai vykdyti, jos turi būti grąžinamos, o lėšos programai finansuoti toliau programos teikėjui negali būti skiriamos dvejus metus nuo tokio pažeidimo nustatymo momento. Kitais atvejais NVŠ programos atitiktis gali būti pratęsiama Savivaldybės administracijos direktoriaus sprendimu.“;</w:t>
      </w:r>
    </w:p>
    <w:p w:rsidR="00BA4A8E" w:rsidRDefault="00BA4A8E" w:rsidP="00A50D4D">
      <w:pPr>
        <w:ind w:firstLine="680"/>
        <w:jc w:val="both"/>
      </w:pPr>
      <w:r>
        <w:lastRenderedPageBreak/>
        <w:t>„22. Priėmus sprendimą dėl NVŠ programos atitikties reikalavimams, per tris darbo dienas nuo sprendimo priėmimo Savivaldybės administracijos Švietimo skyriaus registrų tvarkytojas NVŠ programos (-ų) atitiktį reikalavimams pažymi KTPRR.“;</w:t>
      </w:r>
    </w:p>
    <w:p w:rsidR="00BA4A8E" w:rsidRDefault="00BA4A8E" w:rsidP="00A50D4D">
      <w:pPr>
        <w:ind w:firstLine="680"/>
        <w:jc w:val="both"/>
      </w:pPr>
      <w:r>
        <w:t xml:space="preserve">„27. NVŠ programos teikėjas Savivaldybės administracijos Švietimo skyriui pateikia NVŠ programą lankyti </w:t>
      </w:r>
      <w:r w:rsidRPr="007B3FA0">
        <w:t>užsiregistravusių arba pratęsusių mokymo sutartis vaikų išrašą (jį gauna iš Mokinių registro, įregistravęs vaikus, suvedęs sudarytų sutarčių duomenis ir pažymėjęs „NVŠ tikslinis finansavimas“). Šis išrašas (jame nurodyta teikėjas, programa, jos kodas, vaiko pavardė ir vardas, asmens kodas, bendrojo ugdymo mokykla, kurioje mokosi vaikas) yra NVŠ lėšų skyrimo ir sutarties dėl jų panaudojimo tarp NVŠ teikėjo ir Savivaldybės administracijos direktoriaus pagrindas. Savivaldybės administracija turi teisę prašyti NVŠ teikėjo pateikti daugiau informacijos apie NVŠ programoje dalyvaujančius vaikus.</w:t>
      </w:r>
      <w:r>
        <w:t>“;</w:t>
      </w:r>
    </w:p>
    <w:p w:rsidR="0044369A" w:rsidRDefault="00973845" w:rsidP="00A50D4D">
      <w:pPr>
        <w:ind w:firstLine="680"/>
        <w:jc w:val="both"/>
      </w:pPr>
      <w:r>
        <w:t>„40. Savivaldybė už panaudotas valstybės biudžeto NVŠ lėšas (išskyrus Europos Sąjungos finansinės paramos ir bendrojo finansavimo lėšas) per 20 darbo dienų, pasibaigus kalendoriniams metams, Lietuvos Respublikos švietimo, mokslo ir sporto ministerijos Buhalterinės apskaitos skyriui pateikia Lietuvos Respublikos finansų ministro patvirtintą Metinę, ketvirtinę biudžeto išlaidų sąmatos vykdymo ataskaitos formą, banko išrašą arba laisvos formos pažymą apie lėšų likutį sąskaitoje.“;</w:t>
      </w:r>
    </w:p>
    <w:p w:rsidR="00BA4A8E" w:rsidRDefault="00BA4A8E" w:rsidP="00A50D4D">
      <w:pPr>
        <w:ind w:firstLine="680"/>
        <w:jc w:val="both"/>
      </w:pPr>
      <w:r>
        <w:t>„41. Savivaldybės administracijos Biudžeto ir finansų skyrius Savivaldybei skirtas ir nepanaudotas valstybės biudžeto NVŠ lėšas grąžina iki kitų metų sausio 5 d. į Švietimo, mokslo ir sporto ministerijos sąskaitą.“;</w:t>
      </w:r>
    </w:p>
    <w:p w:rsidR="00BA4A8E" w:rsidRDefault="00BA4A8E" w:rsidP="00A50D4D">
      <w:pPr>
        <w:ind w:firstLine="680"/>
        <w:jc w:val="both"/>
      </w:pPr>
      <w:r>
        <w:t>„42. Pageidaujantieji nutraukti pradėtos NVŠ programos vykdymą privalo informuoti Savivaldybės administracijos Švietimo skyrių ir ne vėliau kaip per 10 darbo dienų nuo NVŠ programos nutraukimo datos Kėdainių švietimo pagalbos tarnybai pateikti NVŠ programos įgyvendinimo ir lėšų panaudojimo ataskaitą už NVŠ programos vykdymo laikotarpį.“;</w:t>
      </w:r>
    </w:p>
    <w:p w:rsidR="00BA4A8E" w:rsidRDefault="00BA4A8E" w:rsidP="00A50D4D">
      <w:pPr>
        <w:ind w:firstLine="680"/>
        <w:jc w:val="both"/>
      </w:pPr>
      <w:r>
        <w:t>„45. Informacija apie NVŠ teikėją (rengėją, koordinatorių, vykdytoją) ir programas, kurios yra finansuotos NVŠ lėšomis, ir kita susijusi informacija (Savivaldybės sprendimai, vaikų pasirinkimai, tvarkaraštis ir kt.) skelbiama NVŠ teikėjo interneto svetainėje, Savivaldybės administracijos interneto svetainėje (www.kedainiai.lt / Veiklos sritys / Švietimas / Veikla), Švietimo</w:t>
      </w:r>
      <w:r w:rsidR="002C7EE9">
        <w:t xml:space="preserve">, </w:t>
      </w:r>
      <w:r>
        <w:t>mokslo</w:t>
      </w:r>
      <w:r w:rsidR="002C7EE9">
        <w:t xml:space="preserve"> ir sporto</w:t>
      </w:r>
      <w:r>
        <w:t xml:space="preserve"> ministerijos registruose, tai yra vieša.“.</w:t>
      </w:r>
    </w:p>
    <w:p w:rsidR="001411DC" w:rsidRDefault="001411DC" w:rsidP="00A50D4D">
      <w:pPr>
        <w:ind w:firstLine="680"/>
        <w:jc w:val="both"/>
      </w:pPr>
    </w:p>
    <w:p w:rsidR="001411DC" w:rsidRPr="00A50D4D" w:rsidRDefault="001411DC" w:rsidP="00A50D4D">
      <w:pPr>
        <w:ind w:firstLine="680"/>
        <w:jc w:val="both"/>
      </w:pPr>
    </w:p>
    <w:p w:rsidR="0019067E" w:rsidRDefault="0019067E" w:rsidP="0019067E">
      <w:pPr>
        <w:tabs>
          <w:tab w:val="left" w:pos="993"/>
        </w:tabs>
        <w:ind w:left="709"/>
        <w:jc w:val="both"/>
      </w:pPr>
    </w:p>
    <w:p w:rsidR="001B703A" w:rsidRPr="0016048B" w:rsidRDefault="001B703A" w:rsidP="001B703A">
      <w:r w:rsidRPr="0016048B">
        <w:t>Savivaldybės meras</w:t>
      </w:r>
      <w:r w:rsidR="005A74C6">
        <w:tab/>
      </w:r>
      <w:r w:rsidR="005A74C6">
        <w:tab/>
      </w:r>
      <w:r w:rsidR="005A74C6">
        <w:tab/>
      </w:r>
      <w:r w:rsidR="005A74C6">
        <w:tab/>
        <w:t xml:space="preserve">                     </w:t>
      </w:r>
      <w:bookmarkStart w:id="0" w:name="_GoBack"/>
      <w:bookmarkEnd w:id="0"/>
      <w:r w:rsidR="005A74C6">
        <w:t>Valentinas Tamulis</w:t>
      </w:r>
      <w:r w:rsidRPr="0016048B">
        <w:tab/>
      </w:r>
      <w:r w:rsidRPr="0016048B">
        <w:tab/>
      </w:r>
      <w:r w:rsidRPr="0016048B">
        <w:tab/>
      </w:r>
      <w:r w:rsidRPr="0016048B">
        <w:tab/>
      </w:r>
    </w:p>
    <w:p w:rsidR="001B703A" w:rsidRPr="0016048B" w:rsidRDefault="001B703A" w:rsidP="001B703A">
      <w:pPr>
        <w:jc w:val="both"/>
      </w:pPr>
    </w:p>
    <w:p w:rsidR="00DE2498" w:rsidRPr="0016048B" w:rsidRDefault="00DE2498" w:rsidP="001B703A">
      <w:pPr>
        <w:jc w:val="both"/>
      </w:pPr>
    </w:p>
    <w:p w:rsidR="00DE2498" w:rsidRPr="0016048B" w:rsidRDefault="00DE2498" w:rsidP="001B703A">
      <w:pPr>
        <w:jc w:val="both"/>
      </w:pPr>
    </w:p>
    <w:p w:rsidR="00DE2498" w:rsidRPr="0016048B" w:rsidRDefault="00DE2498" w:rsidP="001B703A">
      <w:pPr>
        <w:jc w:val="both"/>
      </w:pPr>
    </w:p>
    <w:p w:rsidR="00DE2498" w:rsidRPr="0016048B" w:rsidRDefault="00DE2498" w:rsidP="001B703A">
      <w:pPr>
        <w:jc w:val="both"/>
      </w:pPr>
    </w:p>
    <w:p w:rsidR="00DE2498" w:rsidRPr="0016048B" w:rsidRDefault="00DE2498" w:rsidP="001B703A">
      <w:pPr>
        <w:jc w:val="both"/>
      </w:pPr>
    </w:p>
    <w:p w:rsidR="002C7EE9" w:rsidRDefault="002C7EE9" w:rsidP="001B703A">
      <w:pPr>
        <w:jc w:val="both"/>
      </w:pPr>
    </w:p>
    <w:p w:rsidR="002C7EE9" w:rsidRDefault="002C7EE9" w:rsidP="001B703A">
      <w:pPr>
        <w:jc w:val="both"/>
      </w:pPr>
    </w:p>
    <w:p w:rsidR="002C7EE9" w:rsidRDefault="002C7EE9" w:rsidP="001B703A">
      <w:pPr>
        <w:jc w:val="both"/>
      </w:pPr>
    </w:p>
    <w:p w:rsidR="002C7EE9" w:rsidRPr="0016048B" w:rsidRDefault="002C7EE9" w:rsidP="001B703A">
      <w:pPr>
        <w:jc w:val="both"/>
      </w:pPr>
    </w:p>
    <w:p w:rsidR="00DE2498" w:rsidRPr="0016048B" w:rsidRDefault="00DE2498" w:rsidP="001B703A">
      <w:pPr>
        <w:jc w:val="both"/>
      </w:pPr>
    </w:p>
    <w:p w:rsidR="00DE2498" w:rsidRPr="0016048B" w:rsidRDefault="00DE2498" w:rsidP="001B703A">
      <w:pPr>
        <w:jc w:val="both"/>
      </w:pPr>
    </w:p>
    <w:sectPr w:rsidR="00DE2498" w:rsidRPr="0016048B" w:rsidSect="005A74C6">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41516"/>
    <w:multiLevelType w:val="multilevel"/>
    <w:tmpl w:val="94643A98"/>
    <w:lvl w:ilvl="0">
      <w:start w:val="1"/>
      <w:numFmt w:val="decimal"/>
      <w:lvlText w:val="%1."/>
      <w:lvlJc w:val="left"/>
      <w:pPr>
        <w:ind w:left="1400" w:hanging="360"/>
      </w:pPr>
    </w:lvl>
    <w:lvl w:ilvl="1">
      <w:start w:val="1"/>
      <w:numFmt w:val="decimal"/>
      <w:isLgl/>
      <w:lvlText w:val="%1.%2."/>
      <w:lvlJc w:val="left"/>
      <w:pPr>
        <w:ind w:left="1400" w:hanging="36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1" w15:restartNumberingAfterBreak="0">
    <w:nsid w:val="5089641D"/>
    <w:multiLevelType w:val="multilevel"/>
    <w:tmpl w:val="0BF046DA"/>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613923E6"/>
    <w:multiLevelType w:val="multilevel"/>
    <w:tmpl w:val="B1AE07D0"/>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72B4280E"/>
    <w:multiLevelType w:val="hybridMultilevel"/>
    <w:tmpl w:val="6C80F95E"/>
    <w:lvl w:ilvl="0" w:tplc="CC46376E">
      <w:start w:val="1"/>
      <w:numFmt w:val="decimal"/>
      <w:lvlText w:val="%1."/>
      <w:lvlJc w:val="left"/>
      <w:pPr>
        <w:tabs>
          <w:tab w:val="num" w:pos="1625"/>
        </w:tabs>
        <w:ind w:left="1625" w:hanging="94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3A"/>
    <w:rsid w:val="00013E59"/>
    <w:rsid w:val="000275AC"/>
    <w:rsid w:val="00051F03"/>
    <w:rsid w:val="000A1F7D"/>
    <w:rsid w:val="001103CF"/>
    <w:rsid w:val="001411DC"/>
    <w:rsid w:val="00144CC5"/>
    <w:rsid w:val="0016048B"/>
    <w:rsid w:val="0016332D"/>
    <w:rsid w:val="00187EC8"/>
    <w:rsid w:val="0019067E"/>
    <w:rsid w:val="001B703A"/>
    <w:rsid w:val="001D0043"/>
    <w:rsid w:val="00232D60"/>
    <w:rsid w:val="00260081"/>
    <w:rsid w:val="002754D4"/>
    <w:rsid w:val="002A2CF6"/>
    <w:rsid w:val="002C7EE9"/>
    <w:rsid w:val="00302CC4"/>
    <w:rsid w:val="00306106"/>
    <w:rsid w:val="00337EAF"/>
    <w:rsid w:val="00380913"/>
    <w:rsid w:val="0039588E"/>
    <w:rsid w:val="0044369A"/>
    <w:rsid w:val="00461699"/>
    <w:rsid w:val="004731DF"/>
    <w:rsid w:val="005727E8"/>
    <w:rsid w:val="005A74C6"/>
    <w:rsid w:val="005B6683"/>
    <w:rsid w:val="005D0C7D"/>
    <w:rsid w:val="005D3DFD"/>
    <w:rsid w:val="00600F48"/>
    <w:rsid w:val="0062370C"/>
    <w:rsid w:val="006869AF"/>
    <w:rsid w:val="006E096D"/>
    <w:rsid w:val="006E65B5"/>
    <w:rsid w:val="0071390A"/>
    <w:rsid w:val="00763783"/>
    <w:rsid w:val="007849E9"/>
    <w:rsid w:val="00787A13"/>
    <w:rsid w:val="007F753B"/>
    <w:rsid w:val="008350D4"/>
    <w:rsid w:val="008447A0"/>
    <w:rsid w:val="008F3F2F"/>
    <w:rsid w:val="008F7981"/>
    <w:rsid w:val="00973845"/>
    <w:rsid w:val="009909D6"/>
    <w:rsid w:val="009A184C"/>
    <w:rsid w:val="009D1053"/>
    <w:rsid w:val="009F618F"/>
    <w:rsid w:val="00A20ACB"/>
    <w:rsid w:val="00A37FB2"/>
    <w:rsid w:val="00A50D4D"/>
    <w:rsid w:val="00AD32F6"/>
    <w:rsid w:val="00B60830"/>
    <w:rsid w:val="00BA4A8E"/>
    <w:rsid w:val="00BC724F"/>
    <w:rsid w:val="00C4733E"/>
    <w:rsid w:val="00C50296"/>
    <w:rsid w:val="00C819AF"/>
    <w:rsid w:val="00C82005"/>
    <w:rsid w:val="00C83673"/>
    <w:rsid w:val="00CD388D"/>
    <w:rsid w:val="00D02C19"/>
    <w:rsid w:val="00D827DE"/>
    <w:rsid w:val="00D930E2"/>
    <w:rsid w:val="00DE2498"/>
    <w:rsid w:val="00E0021F"/>
    <w:rsid w:val="00E26A9C"/>
    <w:rsid w:val="00EF2345"/>
    <w:rsid w:val="00EF5EB7"/>
    <w:rsid w:val="00F20799"/>
    <w:rsid w:val="00F42121"/>
    <w:rsid w:val="00F76DE9"/>
    <w:rsid w:val="00FC481F"/>
    <w:rsid w:val="00FE435D"/>
    <w:rsid w:val="00FF5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C912"/>
  <w15:docId w15:val="{E9CD6F21-076A-49F8-8260-96C79CFA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03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1B703A"/>
    <w:pPr>
      <w:jc w:val="center"/>
    </w:pPr>
    <w:rPr>
      <w:b/>
      <w:bCs/>
      <w:lang w:eastAsia="en-US"/>
    </w:rPr>
  </w:style>
  <w:style w:type="character" w:customStyle="1" w:styleId="PavadinimasDiagrama">
    <w:name w:val="Pavadinimas Diagrama"/>
    <w:basedOn w:val="Numatytasispastraiposriftas"/>
    <w:link w:val="Pavadinimas"/>
    <w:rsid w:val="001B703A"/>
    <w:rPr>
      <w:rFonts w:ascii="Times New Roman" w:eastAsia="Times New Roman" w:hAnsi="Times New Roman" w:cs="Times New Roman"/>
      <w:b/>
      <w:bCs/>
      <w:sz w:val="24"/>
      <w:szCs w:val="24"/>
    </w:rPr>
  </w:style>
  <w:style w:type="character" w:customStyle="1" w:styleId="PaantratDiagrama">
    <w:name w:val="Paantraštė Diagrama"/>
    <w:aliases w:val="Char Diagrama,Char Char Char Diagrama"/>
    <w:basedOn w:val="Numatytasispastraiposriftas"/>
    <w:link w:val="Paantrat"/>
    <w:locked/>
    <w:rsid w:val="001B703A"/>
    <w:rPr>
      <w:rFonts w:ascii="Times New Roman" w:eastAsia="Times New Roman" w:hAnsi="Times New Roman" w:cs="Times New Roman"/>
      <w:b/>
      <w:sz w:val="24"/>
      <w:lang w:eastAsia="zh-CN"/>
    </w:rPr>
  </w:style>
  <w:style w:type="paragraph" w:styleId="Paantrat">
    <w:name w:val="Subtitle"/>
    <w:aliases w:val="Char,Char Char Char"/>
    <w:basedOn w:val="prastasis"/>
    <w:link w:val="PaantratDiagrama"/>
    <w:qFormat/>
    <w:rsid w:val="001B703A"/>
    <w:pPr>
      <w:jc w:val="center"/>
    </w:pPr>
    <w:rPr>
      <w:b/>
      <w:szCs w:val="22"/>
      <w:lang w:eastAsia="zh-CN"/>
    </w:rPr>
  </w:style>
  <w:style w:type="character" w:customStyle="1" w:styleId="SubtitleChar1">
    <w:name w:val="Subtitle Char1"/>
    <w:basedOn w:val="Numatytasispastraiposriftas"/>
    <w:uiPriority w:val="11"/>
    <w:rsid w:val="001B703A"/>
    <w:rPr>
      <w:rFonts w:asciiTheme="majorHAnsi" w:eastAsiaTheme="majorEastAsia" w:hAnsiTheme="majorHAnsi" w:cstheme="majorBidi"/>
      <w:i/>
      <w:iCs/>
      <w:color w:val="4F81BD" w:themeColor="accent1"/>
      <w:spacing w:val="15"/>
      <w:sz w:val="24"/>
      <w:szCs w:val="24"/>
      <w:lang w:eastAsia="lt-LT"/>
    </w:rPr>
  </w:style>
  <w:style w:type="paragraph" w:customStyle="1" w:styleId="Sraopastraipa1">
    <w:name w:val="Sąrašo pastraipa1"/>
    <w:basedOn w:val="prastasis"/>
    <w:qFormat/>
    <w:rsid w:val="001B703A"/>
    <w:pPr>
      <w:ind w:left="720"/>
      <w:contextualSpacing/>
      <w:jc w:val="both"/>
    </w:pPr>
    <w:rPr>
      <w:rFonts w:eastAsia="Calibri"/>
      <w:lang w:eastAsia="en-US"/>
    </w:rPr>
  </w:style>
  <w:style w:type="paragraph" w:styleId="Sraopastraipa">
    <w:name w:val="List Paragraph"/>
    <w:basedOn w:val="prastasis"/>
    <w:uiPriority w:val="34"/>
    <w:qFormat/>
    <w:rsid w:val="00EF2345"/>
    <w:pPr>
      <w:ind w:left="720"/>
      <w:contextualSpacing/>
    </w:pPr>
  </w:style>
  <w:style w:type="paragraph" w:styleId="Debesliotekstas">
    <w:name w:val="Balloon Text"/>
    <w:basedOn w:val="prastasis"/>
    <w:link w:val="DebesliotekstasDiagrama"/>
    <w:uiPriority w:val="99"/>
    <w:semiHidden/>
    <w:unhideWhenUsed/>
    <w:rsid w:val="00572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27E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98659">
      <w:bodyDiv w:val="1"/>
      <w:marLeft w:val="0"/>
      <w:marRight w:val="0"/>
      <w:marTop w:val="0"/>
      <w:marBottom w:val="0"/>
      <w:divBdr>
        <w:top w:val="none" w:sz="0" w:space="0" w:color="auto"/>
        <w:left w:val="none" w:sz="0" w:space="0" w:color="auto"/>
        <w:bottom w:val="none" w:sz="0" w:space="0" w:color="auto"/>
        <w:right w:val="none" w:sz="0" w:space="0" w:color="auto"/>
      </w:divBdr>
    </w:div>
    <w:div w:id="845558271">
      <w:bodyDiv w:val="1"/>
      <w:marLeft w:val="0"/>
      <w:marRight w:val="0"/>
      <w:marTop w:val="0"/>
      <w:marBottom w:val="0"/>
      <w:divBdr>
        <w:top w:val="none" w:sz="0" w:space="0" w:color="auto"/>
        <w:left w:val="none" w:sz="0" w:space="0" w:color="auto"/>
        <w:bottom w:val="none" w:sz="0" w:space="0" w:color="auto"/>
        <w:right w:val="none" w:sz="0" w:space="0" w:color="auto"/>
      </w:divBdr>
    </w:div>
    <w:div w:id="18449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4969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Vartotojas</cp:lastModifiedBy>
  <cp:revision>2</cp:revision>
  <cp:lastPrinted>2019-12-02T08:34:00Z</cp:lastPrinted>
  <dcterms:created xsi:type="dcterms:W3CDTF">2019-12-23T07:46:00Z</dcterms:created>
  <dcterms:modified xsi:type="dcterms:W3CDTF">2019-12-23T07:46:00Z</dcterms:modified>
</cp:coreProperties>
</file>