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21" w:rsidRPr="00C73023" w:rsidRDefault="00285C21" w:rsidP="00285C21">
      <w:pPr>
        <w:jc w:val="center"/>
        <w:rPr>
          <w:b/>
          <w:sz w:val="23"/>
          <w:szCs w:val="23"/>
        </w:rPr>
      </w:pPr>
      <w:r w:rsidRPr="00C73023">
        <w:rPr>
          <w:sz w:val="23"/>
          <w:szCs w:val="23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5" o:title=""/>
          </v:shape>
          <o:OLEObject Type="Embed" ProgID="OutPlace" ShapeID="_x0000_i1025" DrawAspect="Content" ObjectID="_1584260606" r:id="rId6"/>
        </w:object>
      </w:r>
    </w:p>
    <w:p w:rsidR="00285C21" w:rsidRPr="00C73023" w:rsidRDefault="00285C21" w:rsidP="00285C21">
      <w:pPr>
        <w:jc w:val="center"/>
        <w:rPr>
          <w:b/>
          <w:sz w:val="23"/>
          <w:szCs w:val="23"/>
        </w:rPr>
      </w:pPr>
      <w:r w:rsidRPr="00C73023">
        <w:rPr>
          <w:b/>
          <w:sz w:val="23"/>
          <w:szCs w:val="23"/>
        </w:rPr>
        <w:t>KĖDAINIŲ RAJONO SAVIVALDYBĖS TARYBA</w:t>
      </w:r>
    </w:p>
    <w:p w:rsidR="00285C21" w:rsidRPr="00C73023" w:rsidRDefault="00285C21" w:rsidP="00285C21">
      <w:pPr>
        <w:jc w:val="center"/>
        <w:rPr>
          <w:b/>
          <w:sz w:val="23"/>
          <w:szCs w:val="23"/>
        </w:rPr>
      </w:pPr>
    </w:p>
    <w:p w:rsidR="00285C21" w:rsidRPr="00C73023" w:rsidRDefault="00285C21" w:rsidP="00285C21">
      <w:pPr>
        <w:jc w:val="center"/>
        <w:rPr>
          <w:b/>
          <w:sz w:val="23"/>
          <w:szCs w:val="23"/>
        </w:rPr>
      </w:pPr>
      <w:r w:rsidRPr="00C73023">
        <w:rPr>
          <w:b/>
          <w:sz w:val="23"/>
          <w:szCs w:val="23"/>
        </w:rPr>
        <w:t>SPRENDIMAS</w:t>
      </w:r>
    </w:p>
    <w:p w:rsidR="00285C21" w:rsidRPr="00C73023" w:rsidRDefault="00285C21" w:rsidP="00285C21">
      <w:pPr>
        <w:tabs>
          <w:tab w:val="right" w:pos="9158"/>
        </w:tabs>
        <w:ind w:right="480"/>
        <w:jc w:val="center"/>
        <w:rPr>
          <w:rFonts w:eastAsia="Times New Roman"/>
          <w:b/>
          <w:sz w:val="23"/>
          <w:szCs w:val="23"/>
          <w:lang w:eastAsia="ar-SA"/>
        </w:rPr>
      </w:pPr>
      <w:r w:rsidRPr="00C73023">
        <w:rPr>
          <w:b/>
          <w:sz w:val="23"/>
          <w:szCs w:val="23"/>
        </w:rPr>
        <w:t xml:space="preserve">DĖL </w:t>
      </w:r>
      <w:r w:rsidR="00CD7CD3" w:rsidRPr="00C73023">
        <w:rPr>
          <w:b/>
          <w:sz w:val="23"/>
          <w:szCs w:val="23"/>
        </w:rPr>
        <w:t>KĖDA</w:t>
      </w:r>
      <w:r w:rsidRPr="00C73023">
        <w:rPr>
          <w:b/>
          <w:sz w:val="23"/>
          <w:szCs w:val="23"/>
        </w:rPr>
        <w:t xml:space="preserve">INIŲ RAJONO SAVIVALDYBĖS TARYBOS 2015 M. VASARIO 13 D. SPRENDIMO NR. TS-6 „DĖL NEVYRIAUSYBINIŲ ORGANIZACIJŲ VEIKLOS PROJEKTŲ </w:t>
      </w:r>
      <w:r w:rsidRPr="00C73023">
        <w:rPr>
          <w:rFonts w:eastAsia="Times New Roman"/>
          <w:b/>
          <w:sz w:val="23"/>
          <w:szCs w:val="23"/>
          <w:lang w:eastAsia="ar-SA"/>
        </w:rPr>
        <w:t xml:space="preserve">FINANSAVIMO </w:t>
      </w:r>
      <w:r w:rsidRPr="00C73023">
        <w:rPr>
          <w:rFonts w:eastAsia="Times New Roman"/>
          <w:b/>
          <w:bCs/>
          <w:sz w:val="23"/>
          <w:szCs w:val="23"/>
          <w:lang w:eastAsia="ar-SA"/>
        </w:rPr>
        <w:t xml:space="preserve">IŠ KĖDAINIŲ RAJONO SAVIVALDYBĖS BIUDŽETO LĖŠŲ </w:t>
      </w:r>
      <w:r w:rsidRPr="00C73023">
        <w:rPr>
          <w:rFonts w:eastAsia="Times New Roman"/>
          <w:b/>
          <w:sz w:val="23"/>
          <w:szCs w:val="23"/>
          <w:lang w:eastAsia="ar-SA"/>
        </w:rPr>
        <w:t xml:space="preserve">KONKURSO TVARKOS APRAŠO </w:t>
      </w:r>
      <w:r w:rsidR="00E71A69">
        <w:rPr>
          <w:rFonts w:eastAsia="Times New Roman"/>
          <w:b/>
          <w:sz w:val="23"/>
          <w:szCs w:val="23"/>
          <w:lang w:eastAsia="ar-SA"/>
        </w:rPr>
        <w:t>PA</w:t>
      </w:r>
      <w:r w:rsidRPr="00C73023">
        <w:rPr>
          <w:rFonts w:eastAsia="Times New Roman"/>
          <w:b/>
          <w:sz w:val="23"/>
          <w:szCs w:val="23"/>
          <w:lang w:eastAsia="ar-SA"/>
        </w:rPr>
        <w:t xml:space="preserve">TVIRTINIMO“ PAKEITIMO    </w:t>
      </w:r>
    </w:p>
    <w:p w:rsidR="00285C21" w:rsidRPr="00C73023" w:rsidRDefault="00285C21" w:rsidP="00285C21">
      <w:pPr>
        <w:jc w:val="center"/>
        <w:rPr>
          <w:b/>
          <w:sz w:val="23"/>
          <w:szCs w:val="23"/>
        </w:rPr>
      </w:pPr>
    </w:p>
    <w:p w:rsidR="00285C21" w:rsidRPr="00C73023" w:rsidRDefault="00285C21" w:rsidP="00285C21">
      <w:pPr>
        <w:jc w:val="center"/>
        <w:rPr>
          <w:sz w:val="23"/>
          <w:szCs w:val="23"/>
        </w:rPr>
      </w:pPr>
      <w:r w:rsidRPr="00C73023">
        <w:rPr>
          <w:sz w:val="23"/>
          <w:szCs w:val="23"/>
        </w:rPr>
        <w:t>2018 m.</w:t>
      </w:r>
      <w:r w:rsidR="005F13A6">
        <w:rPr>
          <w:sz w:val="23"/>
          <w:szCs w:val="23"/>
        </w:rPr>
        <w:t xml:space="preserve"> kovo 3</w:t>
      </w:r>
      <w:r w:rsidR="006435DD">
        <w:rPr>
          <w:sz w:val="23"/>
          <w:szCs w:val="23"/>
        </w:rPr>
        <w:t xml:space="preserve">0 </w:t>
      </w:r>
      <w:r w:rsidRPr="00C73023">
        <w:rPr>
          <w:sz w:val="23"/>
          <w:szCs w:val="23"/>
        </w:rPr>
        <w:t xml:space="preserve"> Nr. </w:t>
      </w:r>
      <w:r w:rsidR="005F13A6">
        <w:rPr>
          <w:sz w:val="23"/>
          <w:szCs w:val="23"/>
        </w:rPr>
        <w:t>TS-52</w:t>
      </w:r>
    </w:p>
    <w:p w:rsidR="00285C21" w:rsidRPr="00C73023" w:rsidRDefault="00285C21" w:rsidP="00285C21">
      <w:pPr>
        <w:jc w:val="center"/>
        <w:rPr>
          <w:sz w:val="23"/>
          <w:szCs w:val="23"/>
        </w:rPr>
      </w:pPr>
      <w:r w:rsidRPr="00C73023">
        <w:rPr>
          <w:sz w:val="23"/>
          <w:szCs w:val="23"/>
        </w:rPr>
        <w:t>Kėdainiai</w:t>
      </w:r>
    </w:p>
    <w:p w:rsidR="00285C21" w:rsidRPr="00C73023" w:rsidRDefault="00285C21" w:rsidP="00285C21">
      <w:pPr>
        <w:jc w:val="center"/>
        <w:rPr>
          <w:sz w:val="23"/>
          <w:szCs w:val="23"/>
        </w:rPr>
      </w:pPr>
    </w:p>
    <w:p w:rsidR="00285C21" w:rsidRPr="00C73023" w:rsidRDefault="00285C21" w:rsidP="00285C21">
      <w:pPr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>Kėdainių rajono savivaldybės taryba n u s p r e n d ž i a:</w:t>
      </w:r>
    </w:p>
    <w:p w:rsidR="00285C21" w:rsidRPr="00C73023" w:rsidRDefault="00B31258" w:rsidP="00285C21">
      <w:pPr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 xml:space="preserve">Pakeisti </w:t>
      </w:r>
      <w:r w:rsidR="00CD7CD3" w:rsidRPr="00C73023">
        <w:rPr>
          <w:sz w:val="23"/>
          <w:szCs w:val="23"/>
        </w:rPr>
        <w:t xml:space="preserve">Nevyriausybinių organizacijų veiklos projektų finansavimo iš Kėdainių rajono savivaldybės biudžeto lėšų konkurso tvarkos aprašą, patvirtintą </w:t>
      </w:r>
      <w:r w:rsidR="00285C21" w:rsidRPr="00C73023">
        <w:rPr>
          <w:sz w:val="23"/>
          <w:szCs w:val="23"/>
        </w:rPr>
        <w:t>Kėdainių rajono savivaldybės tarybos 2015 m. vasario</w:t>
      </w:r>
      <w:r w:rsidR="00DC7952" w:rsidRPr="00C73023">
        <w:rPr>
          <w:sz w:val="23"/>
          <w:szCs w:val="23"/>
        </w:rPr>
        <w:t xml:space="preserve"> 13 d. sprendimu Nr. TS-6 „Dėl N</w:t>
      </w:r>
      <w:r w:rsidR="00285C21" w:rsidRPr="00C73023">
        <w:rPr>
          <w:sz w:val="23"/>
          <w:szCs w:val="23"/>
        </w:rPr>
        <w:t>evyriausybinių organizacijų veiklos projektų finansavimo iš Kėdainių rajono savivaldybės biudžeto lėšų konkurso tvarkos aprašo patvirtinimo“:</w:t>
      </w:r>
    </w:p>
    <w:p w:rsidR="00285C21" w:rsidRPr="00C73023" w:rsidRDefault="00285C21" w:rsidP="00285C21">
      <w:pPr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 xml:space="preserve">1. Pakeisti </w:t>
      </w:r>
      <w:r w:rsidR="00CA78A3" w:rsidRPr="00C73023">
        <w:rPr>
          <w:sz w:val="23"/>
          <w:szCs w:val="23"/>
        </w:rPr>
        <w:t>12 punktą ir jį išdėstyti taip:</w:t>
      </w:r>
    </w:p>
    <w:p w:rsidR="00CA78A3" w:rsidRPr="00C73023" w:rsidRDefault="00CA78A3" w:rsidP="00CA78A3">
      <w:pPr>
        <w:suppressAutoHyphens/>
        <w:overflowPunct w:val="0"/>
        <w:autoSpaceDE w:val="0"/>
        <w:ind w:firstLine="851"/>
        <w:jc w:val="both"/>
        <w:textAlignment w:val="baseline"/>
        <w:rPr>
          <w:rFonts w:eastAsia="Times New Roman"/>
          <w:sz w:val="23"/>
          <w:szCs w:val="23"/>
          <w:lang w:eastAsia="ar-SA"/>
        </w:rPr>
      </w:pPr>
      <w:r w:rsidRPr="00C73023">
        <w:rPr>
          <w:rFonts w:eastAsia="Times New Roman"/>
          <w:sz w:val="23"/>
          <w:szCs w:val="23"/>
          <w:lang w:eastAsia="ar-SA"/>
        </w:rPr>
        <w:t xml:space="preserve">„12. Konkursui teikiamas projektas aprašomas užpildant paraiškos formą, patvirtintą Direktoriaus įsakymu. </w:t>
      </w:r>
      <w:r w:rsidRPr="00C73023">
        <w:rPr>
          <w:rFonts w:eastAsia="Times New Roman"/>
          <w:sz w:val="23"/>
          <w:szCs w:val="23"/>
          <w:lang w:eastAsia="lt-LT"/>
        </w:rPr>
        <w:t xml:space="preserve">Paraiška turi būti užpildyta lietuvių kalba, </w:t>
      </w:r>
      <w:r w:rsidRPr="00C73023">
        <w:rPr>
          <w:rFonts w:eastAsia="Times New Roman"/>
          <w:sz w:val="23"/>
          <w:szCs w:val="23"/>
          <w:lang w:eastAsia="ar-SA"/>
        </w:rPr>
        <w:t>pasirašyta asmens, turinčio teisę veikti pareiškėjo vardu, nurodant vardą, pavardę ir pareigas</w:t>
      </w:r>
      <w:r w:rsidR="00DC7952" w:rsidRPr="00C73023">
        <w:rPr>
          <w:rFonts w:eastAsia="Times New Roman"/>
          <w:sz w:val="23"/>
          <w:szCs w:val="23"/>
          <w:lang w:eastAsia="ar-SA"/>
        </w:rPr>
        <w:t>,</w:t>
      </w:r>
      <w:r w:rsidR="00C73023">
        <w:rPr>
          <w:rFonts w:eastAsia="Times New Roman"/>
          <w:sz w:val="23"/>
          <w:szCs w:val="23"/>
          <w:lang w:eastAsia="ar-SA"/>
        </w:rPr>
        <w:t xml:space="preserve"> </w:t>
      </w:r>
      <w:r w:rsidRPr="00C73023">
        <w:rPr>
          <w:rFonts w:eastAsia="Times New Roman"/>
          <w:sz w:val="23"/>
          <w:szCs w:val="23"/>
          <w:lang w:eastAsia="ar-SA"/>
        </w:rPr>
        <w:t>bei patvirtinta antspaudu, jei pareiškėjas antspaudą privalo turėti.</w:t>
      </w:r>
      <w:r w:rsidRPr="00C73023">
        <w:rPr>
          <w:rFonts w:eastAsia="Times New Roman"/>
          <w:sz w:val="23"/>
          <w:szCs w:val="23"/>
          <w:lang w:eastAsia="lt-LT"/>
        </w:rPr>
        <w:t xml:space="preserve"> Konkursui pareiškėjas pateikia 2 paraiškos egzempliorius (1 originalą ir 1 kopiją) ir e</w:t>
      </w:r>
      <w:r w:rsidRPr="00C73023">
        <w:rPr>
          <w:sz w:val="23"/>
          <w:szCs w:val="23"/>
        </w:rPr>
        <w:t>lektroninę paraiškos kopiją (1 failas</w:t>
      </w:r>
      <w:r w:rsidR="002065AF" w:rsidRPr="00C73023">
        <w:rPr>
          <w:sz w:val="23"/>
          <w:szCs w:val="23"/>
        </w:rPr>
        <w:t xml:space="preserve"> PDF formatu), kurią išsiunčia K</w:t>
      </w:r>
      <w:r w:rsidRPr="00C73023">
        <w:rPr>
          <w:sz w:val="23"/>
          <w:szCs w:val="23"/>
        </w:rPr>
        <w:t>onkurso skelbime nurodytu el</w:t>
      </w:r>
      <w:r w:rsidR="002065AF" w:rsidRPr="00C73023">
        <w:rPr>
          <w:sz w:val="23"/>
          <w:szCs w:val="23"/>
        </w:rPr>
        <w:t>ektroninio pašto adresu</w:t>
      </w:r>
      <w:r w:rsidR="009C393F" w:rsidRPr="00C73023">
        <w:rPr>
          <w:sz w:val="23"/>
          <w:szCs w:val="23"/>
        </w:rPr>
        <w:t xml:space="preserve">“. </w:t>
      </w:r>
    </w:p>
    <w:p w:rsidR="00CA78A3" w:rsidRPr="00C73023" w:rsidRDefault="00CA78A3" w:rsidP="00CA78A3">
      <w:pPr>
        <w:suppressAutoHyphens/>
        <w:overflowPunct w:val="0"/>
        <w:autoSpaceDE w:val="0"/>
        <w:ind w:firstLine="851"/>
        <w:jc w:val="both"/>
        <w:textAlignment w:val="baseline"/>
        <w:rPr>
          <w:rFonts w:eastAsia="Times New Roman"/>
          <w:sz w:val="23"/>
          <w:szCs w:val="23"/>
          <w:lang w:eastAsia="ar-SA"/>
        </w:rPr>
      </w:pPr>
      <w:r w:rsidRPr="00C73023">
        <w:rPr>
          <w:rFonts w:eastAsia="Times New Roman"/>
          <w:sz w:val="23"/>
          <w:szCs w:val="23"/>
          <w:lang w:eastAsia="ar-SA"/>
        </w:rPr>
        <w:t>2. Papildyti 12</w:t>
      </w:r>
      <w:r w:rsidRPr="00C73023">
        <w:rPr>
          <w:rFonts w:eastAsia="Times New Roman"/>
          <w:sz w:val="23"/>
          <w:szCs w:val="23"/>
          <w:vertAlign w:val="superscript"/>
          <w:lang w:eastAsia="ar-SA"/>
        </w:rPr>
        <w:t>1</w:t>
      </w:r>
      <w:r w:rsidRPr="00C73023">
        <w:rPr>
          <w:rFonts w:eastAsia="Times New Roman"/>
          <w:sz w:val="23"/>
          <w:szCs w:val="23"/>
          <w:lang w:eastAsia="ar-SA"/>
        </w:rPr>
        <w:t xml:space="preserve"> punktu: </w:t>
      </w:r>
    </w:p>
    <w:p w:rsidR="00CA78A3" w:rsidRPr="00C73023" w:rsidRDefault="00CA78A3" w:rsidP="00110FF5">
      <w:pPr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>„12</w:t>
      </w:r>
      <w:r w:rsidR="00F0659C" w:rsidRPr="00C73023">
        <w:rPr>
          <w:sz w:val="23"/>
          <w:szCs w:val="23"/>
          <w:vertAlign w:val="superscript"/>
        </w:rPr>
        <w:t>1</w:t>
      </w:r>
      <w:r w:rsidR="00F0659C" w:rsidRPr="00C73023">
        <w:rPr>
          <w:sz w:val="23"/>
          <w:szCs w:val="23"/>
        </w:rPr>
        <w:t xml:space="preserve">. </w:t>
      </w:r>
      <w:r w:rsidRPr="00C73023">
        <w:rPr>
          <w:color w:val="000000" w:themeColor="text1"/>
          <w:sz w:val="23"/>
          <w:szCs w:val="23"/>
        </w:rPr>
        <w:t xml:space="preserve">Projekto paraiška gali būti </w:t>
      </w:r>
      <w:r w:rsidR="002065AF" w:rsidRPr="00C73023">
        <w:rPr>
          <w:rFonts w:eastAsia="Times New Roman"/>
          <w:color w:val="000000" w:themeColor="text1"/>
          <w:sz w:val="23"/>
          <w:szCs w:val="23"/>
          <w:lang w:eastAsia="lt-LT"/>
        </w:rPr>
        <w:t>pristatyta K</w:t>
      </w:r>
      <w:r w:rsidRPr="00C73023">
        <w:rPr>
          <w:rFonts w:eastAsia="Times New Roman"/>
          <w:color w:val="000000" w:themeColor="text1"/>
          <w:sz w:val="23"/>
          <w:szCs w:val="23"/>
          <w:lang w:eastAsia="lt-LT"/>
        </w:rPr>
        <w:t xml:space="preserve">onkurso skelbime nurodytam atsakingam Administracijos darbuotojui arba </w:t>
      </w:r>
      <w:r w:rsidRPr="00C73023">
        <w:rPr>
          <w:color w:val="000000" w:themeColor="text1"/>
          <w:sz w:val="23"/>
          <w:szCs w:val="23"/>
        </w:rPr>
        <w:t xml:space="preserve">atsiųsta </w:t>
      </w:r>
      <w:r w:rsidRPr="00C73023">
        <w:rPr>
          <w:rFonts w:eastAsia="Times New Roman"/>
          <w:sz w:val="23"/>
          <w:szCs w:val="23"/>
          <w:lang w:eastAsia="lt-LT"/>
        </w:rPr>
        <w:t>registruotu laišku adresu</w:t>
      </w:r>
      <w:r w:rsidR="00DC7952" w:rsidRPr="00C73023">
        <w:rPr>
          <w:rFonts w:eastAsia="Times New Roman"/>
          <w:sz w:val="23"/>
          <w:szCs w:val="23"/>
          <w:lang w:eastAsia="lt-LT"/>
        </w:rPr>
        <w:t>:</w:t>
      </w:r>
      <w:r w:rsidRPr="00C73023">
        <w:rPr>
          <w:rFonts w:eastAsia="Times New Roman"/>
          <w:sz w:val="23"/>
          <w:szCs w:val="23"/>
          <w:lang w:eastAsia="lt-LT"/>
        </w:rPr>
        <w:t xml:space="preserve"> J. Basanavičiaus g. 36, Kėdainiai</w:t>
      </w:r>
      <w:r w:rsidR="00F0659C" w:rsidRPr="00C73023">
        <w:rPr>
          <w:rFonts w:eastAsia="Times New Roman"/>
          <w:sz w:val="23"/>
          <w:szCs w:val="23"/>
          <w:lang w:eastAsia="lt-LT"/>
        </w:rPr>
        <w:t>. Ant voko privaloma užrašyti „Nevyriausybinių organizacijų veiklos projektų finansavimo konkursui“</w:t>
      </w:r>
      <w:r w:rsidRPr="00C73023">
        <w:rPr>
          <w:sz w:val="23"/>
          <w:szCs w:val="23"/>
        </w:rPr>
        <w:t>.</w:t>
      </w:r>
    </w:p>
    <w:p w:rsidR="00F0659C" w:rsidRPr="00C73023" w:rsidRDefault="00F0659C" w:rsidP="00110FF5">
      <w:pPr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 xml:space="preserve">3. </w:t>
      </w:r>
      <w:r w:rsidR="00110FF5" w:rsidRPr="00C73023">
        <w:rPr>
          <w:sz w:val="23"/>
          <w:szCs w:val="23"/>
        </w:rPr>
        <w:t>Papildyti 16</w:t>
      </w:r>
      <w:r w:rsidR="00110FF5" w:rsidRPr="00C73023">
        <w:rPr>
          <w:sz w:val="23"/>
          <w:szCs w:val="23"/>
          <w:vertAlign w:val="superscript"/>
        </w:rPr>
        <w:t>1</w:t>
      </w:r>
      <w:r w:rsidR="00110FF5" w:rsidRPr="00C73023">
        <w:rPr>
          <w:sz w:val="23"/>
          <w:szCs w:val="23"/>
        </w:rPr>
        <w:t xml:space="preserve"> punktu: </w:t>
      </w:r>
    </w:p>
    <w:p w:rsidR="00110FF5" w:rsidRPr="00C73023" w:rsidRDefault="00110FF5" w:rsidP="00110FF5">
      <w:pPr>
        <w:pStyle w:val="Pagrindiniotekstotrauka"/>
        <w:numPr>
          <w:ilvl w:val="0"/>
          <w:numId w:val="1"/>
        </w:numPr>
        <w:tabs>
          <w:tab w:val="left" w:pos="360"/>
        </w:tabs>
        <w:spacing w:after="0"/>
        <w:ind w:firstLine="851"/>
        <w:jc w:val="both"/>
        <w:rPr>
          <w:rFonts w:eastAsia="Times New Roman"/>
          <w:snapToGrid w:val="0"/>
          <w:sz w:val="23"/>
          <w:szCs w:val="23"/>
          <w:lang w:eastAsia="ar-SA"/>
        </w:rPr>
      </w:pPr>
      <w:r w:rsidRPr="00C73023">
        <w:rPr>
          <w:sz w:val="23"/>
          <w:szCs w:val="23"/>
        </w:rPr>
        <w:t>„16</w:t>
      </w:r>
      <w:r w:rsidRPr="00C73023">
        <w:rPr>
          <w:sz w:val="23"/>
          <w:szCs w:val="23"/>
          <w:vertAlign w:val="superscript"/>
        </w:rPr>
        <w:t>1</w:t>
      </w:r>
      <w:r w:rsidRPr="00C73023">
        <w:rPr>
          <w:sz w:val="23"/>
          <w:szCs w:val="23"/>
        </w:rPr>
        <w:t>.</w:t>
      </w:r>
      <w:r w:rsidRPr="00C73023">
        <w:rPr>
          <w:rFonts w:eastAsia="Times New Roman"/>
          <w:sz w:val="23"/>
          <w:szCs w:val="23"/>
          <w:lang w:eastAsia="ar-SA"/>
        </w:rPr>
        <w:t xml:space="preserve"> Nustačius, kad elektroninės paraiškos kopijos turinys neatitinka popierinio varianto turinio, vadovaujamasi paraiškos popieriniame variante pateikta informacija“.  </w:t>
      </w:r>
    </w:p>
    <w:p w:rsidR="00110FF5" w:rsidRPr="00C73023" w:rsidRDefault="00704A99" w:rsidP="00110FF5">
      <w:pPr>
        <w:suppressAutoHyphens/>
        <w:autoSpaceDE w:val="0"/>
        <w:ind w:firstLine="851"/>
        <w:jc w:val="both"/>
        <w:rPr>
          <w:rFonts w:eastAsia="Arial"/>
          <w:color w:val="000000"/>
          <w:sz w:val="23"/>
          <w:szCs w:val="23"/>
          <w:lang w:eastAsia="ar-SA"/>
        </w:rPr>
      </w:pPr>
      <w:r w:rsidRPr="00C73023">
        <w:rPr>
          <w:rFonts w:eastAsia="Arial"/>
          <w:color w:val="000000"/>
          <w:sz w:val="23"/>
          <w:szCs w:val="23"/>
          <w:lang w:eastAsia="ar-SA"/>
        </w:rPr>
        <w:t>4</w:t>
      </w:r>
      <w:r w:rsidR="009C393F" w:rsidRPr="00C73023">
        <w:rPr>
          <w:rFonts w:eastAsia="Arial"/>
          <w:color w:val="000000"/>
          <w:sz w:val="23"/>
          <w:szCs w:val="23"/>
          <w:lang w:eastAsia="ar-SA"/>
        </w:rPr>
        <w:t>. P</w:t>
      </w:r>
      <w:r w:rsidR="009F6B61" w:rsidRPr="00C73023">
        <w:rPr>
          <w:rFonts w:eastAsia="Arial"/>
          <w:color w:val="000000"/>
          <w:sz w:val="23"/>
          <w:szCs w:val="23"/>
          <w:lang w:eastAsia="ar-SA"/>
        </w:rPr>
        <w:t>akeisti 32</w:t>
      </w:r>
      <w:r w:rsidRPr="00C73023">
        <w:rPr>
          <w:rFonts w:eastAsia="Arial"/>
          <w:color w:val="000000"/>
          <w:sz w:val="23"/>
          <w:szCs w:val="23"/>
          <w:lang w:eastAsia="ar-SA"/>
        </w:rPr>
        <w:t xml:space="preserve"> </w:t>
      </w:r>
      <w:r w:rsidR="009C393F" w:rsidRPr="00C73023">
        <w:rPr>
          <w:rFonts w:eastAsia="Arial"/>
          <w:color w:val="000000"/>
          <w:sz w:val="23"/>
          <w:szCs w:val="23"/>
          <w:lang w:eastAsia="ar-SA"/>
        </w:rPr>
        <w:t>punkt</w:t>
      </w:r>
      <w:r w:rsidRPr="00C73023">
        <w:rPr>
          <w:rFonts w:eastAsia="Arial"/>
          <w:color w:val="000000"/>
          <w:sz w:val="23"/>
          <w:szCs w:val="23"/>
          <w:lang w:eastAsia="ar-SA"/>
        </w:rPr>
        <w:t>ą</w:t>
      </w:r>
      <w:r w:rsidR="009F6B61" w:rsidRPr="00C73023">
        <w:rPr>
          <w:rFonts w:eastAsia="Arial"/>
          <w:color w:val="000000"/>
          <w:sz w:val="23"/>
          <w:szCs w:val="23"/>
          <w:lang w:eastAsia="ar-SA"/>
        </w:rPr>
        <w:t xml:space="preserve"> ir jį išdėstyti taip: </w:t>
      </w:r>
    </w:p>
    <w:p w:rsidR="00704A99" w:rsidRPr="00C73023" w:rsidRDefault="00704A99" w:rsidP="00704A99">
      <w:pPr>
        <w:pStyle w:val="Sraopastraipa"/>
        <w:numPr>
          <w:ilvl w:val="0"/>
          <w:numId w:val="1"/>
        </w:numPr>
        <w:tabs>
          <w:tab w:val="left" w:pos="0"/>
        </w:tabs>
        <w:autoSpaceDN w:val="0"/>
        <w:ind w:firstLine="709"/>
        <w:jc w:val="both"/>
        <w:rPr>
          <w:sz w:val="23"/>
          <w:szCs w:val="23"/>
        </w:rPr>
      </w:pPr>
      <w:r w:rsidRPr="00C73023">
        <w:rPr>
          <w:rFonts w:eastAsia="Arial"/>
          <w:color w:val="000000"/>
          <w:sz w:val="23"/>
          <w:szCs w:val="23"/>
          <w:lang w:eastAsia="ar-SA"/>
        </w:rPr>
        <w:t xml:space="preserve">„32. </w:t>
      </w:r>
      <w:r w:rsidRPr="00C73023">
        <w:rPr>
          <w:rFonts w:eastAsia="Arial"/>
          <w:sz w:val="23"/>
          <w:szCs w:val="23"/>
          <w:lang w:eastAsia="ar-SA"/>
        </w:rPr>
        <w:t xml:space="preserve">Pareiškėjas po projekto įvykdymo per 10 darbo dienų, bet </w:t>
      </w:r>
      <w:r w:rsidRPr="00C73023">
        <w:rPr>
          <w:sz w:val="23"/>
          <w:szCs w:val="23"/>
        </w:rPr>
        <w:t xml:space="preserve">ne vėliau kaip </w:t>
      </w:r>
      <w:r w:rsidRPr="00C73023">
        <w:rPr>
          <w:rFonts w:eastAsia="Arial"/>
          <w:sz w:val="23"/>
          <w:szCs w:val="23"/>
          <w:lang w:eastAsia="ar-SA"/>
        </w:rPr>
        <w:t xml:space="preserve">iki einamųjų metų gruodžio 20 dienos, </w:t>
      </w:r>
      <w:r w:rsidRPr="00C73023">
        <w:rPr>
          <w:sz w:val="23"/>
          <w:szCs w:val="23"/>
        </w:rPr>
        <w:t>pateikia:</w:t>
      </w:r>
    </w:p>
    <w:p w:rsidR="00704A99" w:rsidRPr="00C73023" w:rsidRDefault="00704A99" w:rsidP="009C393F">
      <w:pPr>
        <w:pStyle w:val="Sraopastraipa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 xml:space="preserve">32.1. </w:t>
      </w:r>
      <w:r w:rsidR="009C393F" w:rsidRPr="00C73023">
        <w:rPr>
          <w:sz w:val="23"/>
          <w:szCs w:val="23"/>
        </w:rPr>
        <w:t xml:space="preserve">Administracijos Apskaitos skyriui </w:t>
      </w:r>
      <w:r w:rsidR="009F6B61" w:rsidRPr="00C73023">
        <w:rPr>
          <w:sz w:val="23"/>
          <w:szCs w:val="23"/>
        </w:rPr>
        <w:t>Su</w:t>
      </w:r>
      <w:r w:rsidRPr="00C73023">
        <w:rPr>
          <w:sz w:val="23"/>
          <w:szCs w:val="23"/>
        </w:rPr>
        <w:t>tartyje nustatytas ataskaitas, pagrindžiančias biudžeto lėšų panaudojimą;</w:t>
      </w:r>
    </w:p>
    <w:p w:rsidR="009F6B61" w:rsidRPr="00C73023" w:rsidRDefault="00704A99" w:rsidP="009C393F">
      <w:pPr>
        <w:pStyle w:val="Sraopastraipa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 xml:space="preserve">32.2. projekto </w:t>
      </w:r>
      <w:r w:rsidR="00B31258" w:rsidRPr="00C73023">
        <w:rPr>
          <w:sz w:val="23"/>
          <w:szCs w:val="23"/>
        </w:rPr>
        <w:t xml:space="preserve">įvykdymo dalykinę ataskaitą (Aprašo 2 priedas)“. </w:t>
      </w:r>
    </w:p>
    <w:p w:rsidR="00704A99" w:rsidRPr="00C73023" w:rsidRDefault="00704A99" w:rsidP="00B31258">
      <w:pPr>
        <w:pStyle w:val="Sraopastraipa"/>
        <w:numPr>
          <w:ilvl w:val="0"/>
          <w:numId w:val="1"/>
        </w:numPr>
        <w:tabs>
          <w:tab w:val="left" w:pos="0"/>
        </w:tabs>
        <w:autoSpaceDN w:val="0"/>
        <w:ind w:firstLine="851"/>
        <w:jc w:val="both"/>
        <w:rPr>
          <w:sz w:val="23"/>
          <w:szCs w:val="23"/>
        </w:rPr>
      </w:pPr>
      <w:r w:rsidRPr="00C73023">
        <w:rPr>
          <w:rFonts w:eastAsia="Times New Roman"/>
          <w:snapToGrid w:val="0"/>
          <w:sz w:val="23"/>
          <w:szCs w:val="23"/>
          <w:lang w:eastAsia="ar-SA"/>
        </w:rPr>
        <w:t>6.</w:t>
      </w:r>
      <w:r w:rsidRPr="00C73023">
        <w:rPr>
          <w:sz w:val="23"/>
          <w:szCs w:val="23"/>
        </w:rPr>
        <w:t xml:space="preserve"> Pakeisti 34 punktą ir jį išdėstytai taip:</w:t>
      </w:r>
    </w:p>
    <w:p w:rsidR="00704A99" w:rsidRPr="00C73023" w:rsidRDefault="00704A99" w:rsidP="00B31258">
      <w:pPr>
        <w:pStyle w:val="Sraopastraipa"/>
        <w:numPr>
          <w:ilvl w:val="0"/>
          <w:numId w:val="1"/>
        </w:numPr>
        <w:tabs>
          <w:tab w:val="left" w:pos="0"/>
        </w:tabs>
        <w:autoSpaceDN w:val="0"/>
        <w:ind w:firstLine="851"/>
        <w:jc w:val="both"/>
        <w:rPr>
          <w:sz w:val="23"/>
          <w:szCs w:val="23"/>
        </w:rPr>
      </w:pPr>
      <w:r w:rsidRPr="00C73023">
        <w:rPr>
          <w:sz w:val="23"/>
          <w:szCs w:val="23"/>
        </w:rPr>
        <w:t xml:space="preserve">„34. </w:t>
      </w:r>
      <w:r w:rsidRPr="00C73023">
        <w:rPr>
          <w:rFonts w:eastAsia="Arial"/>
          <w:sz w:val="23"/>
          <w:szCs w:val="23"/>
          <w:lang w:eastAsia="ar-SA"/>
        </w:rPr>
        <w:t>Nepanaudo</w:t>
      </w:r>
      <w:r w:rsidR="002065AF" w:rsidRPr="00C73023">
        <w:rPr>
          <w:rFonts w:eastAsia="Arial"/>
          <w:sz w:val="23"/>
          <w:szCs w:val="23"/>
          <w:lang w:eastAsia="ar-SA"/>
        </w:rPr>
        <w:t>tos ar netikslingai panaudotos rajono s</w:t>
      </w:r>
      <w:r w:rsidRPr="00C73023">
        <w:rPr>
          <w:rFonts w:eastAsia="Arial"/>
          <w:sz w:val="23"/>
          <w:szCs w:val="23"/>
          <w:lang w:eastAsia="ar-SA"/>
        </w:rPr>
        <w:t xml:space="preserve">avivaldybės </w:t>
      </w:r>
      <w:r w:rsidR="002065AF" w:rsidRPr="00C73023">
        <w:rPr>
          <w:rFonts w:eastAsia="Arial"/>
          <w:sz w:val="23"/>
          <w:szCs w:val="23"/>
          <w:lang w:eastAsia="ar-SA"/>
        </w:rPr>
        <w:t xml:space="preserve">biudžeto </w:t>
      </w:r>
      <w:r w:rsidRPr="00C73023">
        <w:rPr>
          <w:rFonts w:eastAsia="Arial"/>
          <w:sz w:val="23"/>
          <w:szCs w:val="23"/>
          <w:lang w:eastAsia="ar-SA"/>
        </w:rPr>
        <w:t>lėšos turi būti grąžintos iki einamųjų metų gruodžio 20 dienos Administracijai“.</w:t>
      </w:r>
    </w:p>
    <w:p w:rsidR="00704A99" w:rsidRPr="00C73023" w:rsidRDefault="00704A99" w:rsidP="00B31258">
      <w:pPr>
        <w:pStyle w:val="Sraopastraipa"/>
        <w:numPr>
          <w:ilvl w:val="0"/>
          <w:numId w:val="1"/>
        </w:numPr>
        <w:tabs>
          <w:tab w:val="left" w:pos="0"/>
        </w:tabs>
        <w:autoSpaceDN w:val="0"/>
        <w:ind w:firstLine="851"/>
        <w:jc w:val="both"/>
        <w:rPr>
          <w:sz w:val="23"/>
          <w:szCs w:val="23"/>
        </w:rPr>
      </w:pPr>
      <w:r w:rsidRPr="00C73023">
        <w:rPr>
          <w:rFonts w:eastAsia="Arial"/>
          <w:sz w:val="23"/>
          <w:szCs w:val="23"/>
          <w:lang w:eastAsia="ar-SA"/>
        </w:rPr>
        <w:t xml:space="preserve">7. Papildyti </w:t>
      </w:r>
      <w:r w:rsidR="00B31258" w:rsidRPr="00C73023">
        <w:rPr>
          <w:rFonts w:eastAsia="Arial"/>
          <w:sz w:val="23"/>
          <w:szCs w:val="23"/>
          <w:lang w:eastAsia="ar-SA"/>
        </w:rPr>
        <w:t xml:space="preserve">36 punktu: </w:t>
      </w:r>
    </w:p>
    <w:p w:rsidR="00704A99" w:rsidRPr="00C73023" w:rsidRDefault="00B31258" w:rsidP="00B31258">
      <w:pPr>
        <w:pStyle w:val="Pagrindinistekstas"/>
        <w:numPr>
          <w:ilvl w:val="0"/>
          <w:numId w:val="1"/>
        </w:numPr>
        <w:tabs>
          <w:tab w:val="left" w:pos="360"/>
        </w:tabs>
        <w:spacing w:after="0"/>
        <w:ind w:firstLine="851"/>
        <w:jc w:val="both"/>
        <w:rPr>
          <w:sz w:val="23"/>
          <w:szCs w:val="23"/>
          <w:lang w:eastAsia="lt-LT"/>
        </w:rPr>
      </w:pPr>
      <w:r w:rsidRPr="00C73023">
        <w:rPr>
          <w:sz w:val="23"/>
          <w:szCs w:val="23"/>
          <w:lang w:eastAsia="lt-LT"/>
        </w:rPr>
        <w:t>„36</w:t>
      </w:r>
      <w:r w:rsidR="00704A99" w:rsidRPr="00C73023">
        <w:rPr>
          <w:sz w:val="23"/>
          <w:szCs w:val="23"/>
          <w:lang w:eastAsia="lt-LT"/>
        </w:rPr>
        <w:t>.</w:t>
      </w:r>
      <w:r w:rsidR="00DC7952" w:rsidRPr="00C73023">
        <w:rPr>
          <w:sz w:val="23"/>
          <w:szCs w:val="23"/>
          <w:lang w:eastAsia="lt-LT"/>
        </w:rPr>
        <w:t xml:space="preserve"> Pareiškėjas, atlikdamas pirkimus, privalo vadovautis LR</w:t>
      </w:r>
      <w:r w:rsidR="00BE7A1F" w:rsidRPr="00C73023">
        <w:rPr>
          <w:sz w:val="23"/>
          <w:szCs w:val="23"/>
          <w:lang w:eastAsia="lt-LT"/>
        </w:rPr>
        <w:t xml:space="preserve"> viešųjų pirkimų įstatymu. Jei P</w:t>
      </w:r>
      <w:r w:rsidR="00DC7952" w:rsidRPr="00C73023">
        <w:rPr>
          <w:sz w:val="23"/>
          <w:szCs w:val="23"/>
          <w:lang w:eastAsia="lt-LT"/>
        </w:rPr>
        <w:t>arei</w:t>
      </w:r>
      <w:r w:rsidR="00BE7A1F" w:rsidRPr="00C73023">
        <w:rPr>
          <w:sz w:val="23"/>
          <w:szCs w:val="23"/>
          <w:lang w:eastAsia="lt-LT"/>
        </w:rPr>
        <w:t>škėjas yra neperkančioji organiz</w:t>
      </w:r>
      <w:r w:rsidR="00DC7952" w:rsidRPr="00C73023">
        <w:rPr>
          <w:sz w:val="23"/>
          <w:szCs w:val="23"/>
          <w:lang w:eastAsia="lt-LT"/>
        </w:rPr>
        <w:t xml:space="preserve">acija, atlikdamas pirkimus turi </w:t>
      </w:r>
      <w:r w:rsidR="00BE7A1F" w:rsidRPr="00C73023">
        <w:rPr>
          <w:sz w:val="23"/>
          <w:szCs w:val="23"/>
          <w:lang w:eastAsia="lt-LT"/>
        </w:rPr>
        <w:t>vadovautis Neperkančiųjų organiz</w:t>
      </w:r>
      <w:r w:rsidR="00DC7952" w:rsidRPr="00C73023">
        <w:rPr>
          <w:sz w:val="23"/>
          <w:szCs w:val="23"/>
          <w:lang w:eastAsia="lt-LT"/>
        </w:rPr>
        <w:t>acijų t</w:t>
      </w:r>
      <w:r w:rsidR="00BE7A1F" w:rsidRPr="00C73023">
        <w:rPr>
          <w:sz w:val="23"/>
          <w:szCs w:val="23"/>
          <w:lang w:eastAsia="lt-LT"/>
        </w:rPr>
        <w:t>aisyklėmis, kurias pasitvirtina organizacijos viduje</w:t>
      </w:r>
      <w:r w:rsidR="00704A99" w:rsidRPr="00C73023">
        <w:rPr>
          <w:sz w:val="23"/>
          <w:szCs w:val="23"/>
          <w:lang w:eastAsia="lt-LT"/>
        </w:rPr>
        <w:t xml:space="preserve">“.  </w:t>
      </w:r>
    </w:p>
    <w:p w:rsidR="00B31258" w:rsidRPr="00C73023" w:rsidRDefault="00B31258" w:rsidP="00B31258">
      <w:pPr>
        <w:ind w:firstLine="851"/>
        <w:jc w:val="both"/>
        <w:rPr>
          <w:rFonts w:eastAsia="Times New Roman"/>
          <w:sz w:val="23"/>
          <w:szCs w:val="23"/>
          <w:lang w:eastAsia="lt-LT"/>
        </w:rPr>
      </w:pPr>
      <w:r w:rsidRPr="00C73023">
        <w:rPr>
          <w:sz w:val="23"/>
          <w:szCs w:val="23"/>
          <w:lang w:eastAsia="lt-LT"/>
        </w:rPr>
        <w:t xml:space="preserve">8. </w:t>
      </w:r>
      <w:r w:rsidRPr="00C73023">
        <w:rPr>
          <w:rFonts w:eastAsia="Times New Roman"/>
          <w:sz w:val="23"/>
          <w:szCs w:val="23"/>
          <w:lang w:eastAsia="lt-LT"/>
        </w:rPr>
        <w:t>Pakeisti Aprašo 1 priedą ir jį išdėstyti nauja redakcija (pridedama).</w:t>
      </w:r>
    </w:p>
    <w:p w:rsidR="00B31258" w:rsidRDefault="00B31258" w:rsidP="00B31258">
      <w:pPr>
        <w:pStyle w:val="Pagrindinistekstas"/>
        <w:tabs>
          <w:tab w:val="left" w:pos="360"/>
        </w:tabs>
        <w:spacing w:after="0"/>
        <w:jc w:val="both"/>
        <w:rPr>
          <w:sz w:val="23"/>
          <w:szCs w:val="23"/>
          <w:lang w:eastAsia="lt-LT"/>
        </w:rPr>
      </w:pPr>
    </w:p>
    <w:p w:rsidR="005F13A6" w:rsidRDefault="005F13A6" w:rsidP="00B31258">
      <w:pPr>
        <w:pStyle w:val="Pagrindinistekstas"/>
        <w:tabs>
          <w:tab w:val="left" w:pos="360"/>
        </w:tabs>
        <w:spacing w:after="0"/>
        <w:jc w:val="both"/>
        <w:rPr>
          <w:sz w:val="23"/>
          <w:szCs w:val="23"/>
          <w:lang w:eastAsia="lt-LT"/>
        </w:rPr>
      </w:pPr>
    </w:p>
    <w:p w:rsidR="005F13A6" w:rsidRDefault="005F13A6" w:rsidP="00B31258">
      <w:pPr>
        <w:pStyle w:val="Pagrindinistekstas"/>
        <w:tabs>
          <w:tab w:val="left" w:pos="360"/>
        </w:tabs>
        <w:spacing w:after="0"/>
        <w:jc w:val="both"/>
        <w:rPr>
          <w:sz w:val="23"/>
          <w:szCs w:val="23"/>
          <w:lang w:eastAsia="lt-LT"/>
        </w:rPr>
      </w:pPr>
    </w:p>
    <w:p w:rsidR="005F13A6" w:rsidRPr="00C73023" w:rsidRDefault="005F13A6" w:rsidP="00B31258">
      <w:pPr>
        <w:pStyle w:val="Pagrindinistekstas"/>
        <w:tabs>
          <w:tab w:val="left" w:pos="360"/>
        </w:tabs>
        <w:spacing w:after="0"/>
        <w:jc w:val="both"/>
        <w:rPr>
          <w:sz w:val="23"/>
          <w:szCs w:val="23"/>
          <w:lang w:eastAsia="lt-LT"/>
        </w:rPr>
      </w:pPr>
      <w:bookmarkStart w:id="0" w:name="_GoBack"/>
      <w:bookmarkEnd w:id="0"/>
    </w:p>
    <w:p w:rsidR="00B31258" w:rsidRPr="00C73023" w:rsidRDefault="00B31258" w:rsidP="00B31258">
      <w:pPr>
        <w:rPr>
          <w:rFonts w:eastAsia="Times New Roman"/>
          <w:sz w:val="23"/>
          <w:szCs w:val="23"/>
          <w:lang w:eastAsia="lt-LT"/>
        </w:rPr>
      </w:pPr>
      <w:r w:rsidRPr="00C73023">
        <w:rPr>
          <w:rFonts w:eastAsia="Times New Roman"/>
          <w:sz w:val="23"/>
          <w:szCs w:val="23"/>
          <w:lang w:eastAsia="lt-LT"/>
        </w:rPr>
        <w:t>Savivaldybės meras</w:t>
      </w:r>
      <w:r w:rsidR="005F13A6">
        <w:rPr>
          <w:rFonts w:eastAsia="Times New Roman"/>
          <w:sz w:val="23"/>
          <w:szCs w:val="23"/>
          <w:lang w:eastAsia="lt-LT"/>
        </w:rPr>
        <w:tab/>
      </w:r>
      <w:r w:rsidR="005F13A6">
        <w:rPr>
          <w:rFonts w:eastAsia="Times New Roman"/>
          <w:sz w:val="23"/>
          <w:szCs w:val="23"/>
          <w:lang w:eastAsia="lt-LT"/>
        </w:rPr>
        <w:tab/>
      </w:r>
      <w:r w:rsidR="005F13A6">
        <w:rPr>
          <w:rFonts w:eastAsia="Times New Roman"/>
          <w:sz w:val="23"/>
          <w:szCs w:val="23"/>
          <w:lang w:eastAsia="lt-LT"/>
        </w:rPr>
        <w:tab/>
      </w:r>
      <w:r w:rsidR="005F13A6">
        <w:rPr>
          <w:rFonts w:eastAsia="Times New Roman"/>
          <w:sz w:val="23"/>
          <w:szCs w:val="23"/>
          <w:lang w:eastAsia="lt-LT"/>
        </w:rPr>
        <w:tab/>
        <w:t>Saulius   Grinkevičius</w:t>
      </w:r>
    </w:p>
    <w:p w:rsidR="00B31258" w:rsidRPr="00C73023" w:rsidRDefault="00B31258" w:rsidP="00B31258">
      <w:pPr>
        <w:rPr>
          <w:rFonts w:eastAsia="Times New Roman"/>
          <w:sz w:val="23"/>
          <w:szCs w:val="23"/>
          <w:lang w:eastAsia="lt-LT"/>
        </w:rPr>
      </w:pPr>
    </w:p>
    <w:p w:rsidR="00C73023" w:rsidRDefault="00C73023" w:rsidP="00B31258">
      <w:pPr>
        <w:jc w:val="both"/>
        <w:rPr>
          <w:rFonts w:eastAsia="Calibri"/>
          <w:sz w:val="23"/>
          <w:szCs w:val="23"/>
          <w:lang w:eastAsia="en-US"/>
        </w:rPr>
      </w:pPr>
    </w:p>
    <w:p w:rsidR="005F13A6" w:rsidRDefault="005F13A6" w:rsidP="00B31258">
      <w:pPr>
        <w:jc w:val="both"/>
        <w:rPr>
          <w:rFonts w:eastAsia="Calibri"/>
          <w:sz w:val="23"/>
          <w:szCs w:val="23"/>
          <w:lang w:eastAsia="en-US"/>
        </w:rPr>
      </w:pPr>
    </w:p>
    <w:p w:rsidR="005F13A6" w:rsidRDefault="005F13A6" w:rsidP="00B31258">
      <w:pPr>
        <w:jc w:val="both"/>
        <w:rPr>
          <w:rFonts w:eastAsia="Calibri"/>
          <w:sz w:val="23"/>
          <w:szCs w:val="23"/>
          <w:lang w:eastAsia="en-US"/>
        </w:rPr>
      </w:pPr>
    </w:p>
    <w:p w:rsidR="005F13A6" w:rsidRDefault="005F13A6" w:rsidP="00B31258">
      <w:pPr>
        <w:jc w:val="both"/>
        <w:rPr>
          <w:rFonts w:eastAsia="Calibri"/>
          <w:sz w:val="23"/>
          <w:szCs w:val="23"/>
          <w:lang w:eastAsia="en-US"/>
        </w:rPr>
      </w:pPr>
    </w:p>
    <w:p w:rsidR="005F13A6" w:rsidRPr="00C73023" w:rsidRDefault="005F13A6" w:rsidP="00B31258">
      <w:pPr>
        <w:jc w:val="both"/>
        <w:rPr>
          <w:rFonts w:eastAsia="Calibri"/>
          <w:sz w:val="23"/>
          <w:szCs w:val="23"/>
          <w:lang w:eastAsia="en-US"/>
        </w:rPr>
      </w:pPr>
    </w:p>
    <w:p w:rsidR="00285C21" w:rsidRPr="00C73023" w:rsidRDefault="00285C21" w:rsidP="00285C21">
      <w:pPr>
        <w:suppressAutoHyphens/>
        <w:jc w:val="right"/>
        <w:rPr>
          <w:rFonts w:eastAsia="Times New Roman"/>
          <w:lang w:eastAsia="ar-SA"/>
        </w:rPr>
      </w:pPr>
      <w:r w:rsidRPr="00C73023">
        <w:rPr>
          <w:rFonts w:eastAsia="Times New Roman"/>
          <w:lang w:eastAsia="ar-SA"/>
        </w:rPr>
        <w:t xml:space="preserve">Nevyriausybinių organizacijų veiklos projektų </w:t>
      </w:r>
    </w:p>
    <w:p w:rsidR="00285C21" w:rsidRPr="00C73023" w:rsidRDefault="00285C21" w:rsidP="00285C21">
      <w:pPr>
        <w:suppressAutoHyphens/>
        <w:jc w:val="center"/>
        <w:rPr>
          <w:rFonts w:eastAsiaTheme="minorHAnsi"/>
          <w:lang w:eastAsia="en-US"/>
        </w:rPr>
      </w:pPr>
      <w:r w:rsidRPr="00C73023">
        <w:rPr>
          <w:rFonts w:eastAsia="Times New Roman"/>
          <w:lang w:eastAsia="ar-SA"/>
        </w:rPr>
        <w:t xml:space="preserve">                                                                                    finansavimo </w:t>
      </w:r>
      <w:r w:rsidRPr="00C73023">
        <w:rPr>
          <w:rFonts w:eastAsiaTheme="minorHAnsi"/>
          <w:lang w:eastAsia="en-US"/>
        </w:rPr>
        <w:t xml:space="preserve">iš Kėdainių rajono savivaldybės </w:t>
      </w:r>
    </w:p>
    <w:p w:rsidR="00285C21" w:rsidRPr="00C73023" w:rsidRDefault="00285C21" w:rsidP="00285C21">
      <w:pPr>
        <w:suppressAutoHyphens/>
        <w:jc w:val="center"/>
        <w:rPr>
          <w:rFonts w:eastAsia="Times New Roman"/>
          <w:lang w:eastAsia="ar-SA"/>
        </w:rPr>
      </w:pPr>
      <w:r w:rsidRPr="00C73023">
        <w:rPr>
          <w:rFonts w:eastAsiaTheme="minorHAnsi"/>
          <w:lang w:eastAsia="en-US"/>
        </w:rPr>
        <w:t xml:space="preserve">                                                                          biudžeto lėšų konkurso </w:t>
      </w:r>
      <w:r w:rsidRPr="00C73023">
        <w:rPr>
          <w:rFonts w:eastAsia="Times New Roman"/>
          <w:lang w:eastAsia="ar-SA"/>
        </w:rPr>
        <w:t>tvarkos aprašo</w:t>
      </w:r>
    </w:p>
    <w:p w:rsidR="00285C21" w:rsidRPr="00C73023" w:rsidRDefault="00110FF5" w:rsidP="00285C21">
      <w:pPr>
        <w:suppressAutoHyphens/>
        <w:jc w:val="center"/>
        <w:rPr>
          <w:rFonts w:eastAsia="Times New Roman"/>
          <w:lang w:eastAsia="ar-SA"/>
        </w:rPr>
      </w:pPr>
      <w:r w:rsidRPr="00C73023">
        <w:rPr>
          <w:rFonts w:eastAsia="Times New Roman"/>
          <w:lang w:eastAsia="ar-SA"/>
        </w:rPr>
        <w:t xml:space="preserve">                           1</w:t>
      </w:r>
      <w:r w:rsidR="00285C21" w:rsidRPr="00C73023">
        <w:rPr>
          <w:rFonts w:eastAsia="Times New Roman"/>
          <w:lang w:eastAsia="ar-SA"/>
        </w:rPr>
        <w:t xml:space="preserve"> priedas </w:t>
      </w:r>
    </w:p>
    <w:p w:rsidR="00285C21" w:rsidRPr="00285C21" w:rsidRDefault="00285C21" w:rsidP="00285C21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lang w:eastAsia="ar-SA"/>
        </w:rPr>
      </w:pPr>
    </w:p>
    <w:p w:rsidR="00285C21" w:rsidRPr="00285C21" w:rsidRDefault="00285C21" w:rsidP="00285C21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lang w:eastAsia="ar-SA"/>
        </w:rPr>
      </w:pPr>
      <w:r w:rsidRPr="00285C21">
        <w:rPr>
          <w:rFonts w:eastAsia="Times New Roman"/>
          <w:b/>
          <w:lang w:eastAsia="ar-SA"/>
        </w:rPr>
        <w:t>(P</w:t>
      </w:r>
      <w:r w:rsidR="009F6B61">
        <w:rPr>
          <w:rFonts w:eastAsia="Times New Roman"/>
          <w:b/>
          <w:lang w:eastAsia="ar-SA"/>
        </w:rPr>
        <w:t>rojekto p</w:t>
      </w:r>
      <w:r w:rsidRPr="00285C21">
        <w:rPr>
          <w:rFonts w:eastAsia="Times New Roman"/>
          <w:b/>
          <w:lang w:eastAsia="ar-SA"/>
        </w:rPr>
        <w:t xml:space="preserve">araiškos vertinimo anketos forma) </w:t>
      </w:r>
    </w:p>
    <w:p w:rsidR="00285C21" w:rsidRPr="00285C21" w:rsidRDefault="00285C21" w:rsidP="00285C21">
      <w:pPr>
        <w:suppressAutoHyphens/>
        <w:overflowPunct w:val="0"/>
        <w:autoSpaceDE w:val="0"/>
        <w:jc w:val="center"/>
        <w:textAlignment w:val="baseline"/>
        <w:rPr>
          <w:rFonts w:eastAsia="Times New Roman"/>
          <w:lang w:eastAsia="ar-SA"/>
        </w:rPr>
      </w:pPr>
    </w:p>
    <w:p w:rsidR="00285C21" w:rsidRPr="00285C21" w:rsidRDefault="00285C21" w:rsidP="00285C21">
      <w:pPr>
        <w:tabs>
          <w:tab w:val="left" w:pos="10260"/>
        </w:tabs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lang w:eastAsia="ar-SA"/>
        </w:rPr>
      </w:pPr>
      <w:r w:rsidRPr="00285C21">
        <w:rPr>
          <w:rFonts w:eastAsia="Times New Roman"/>
          <w:b/>
          <w:lang w:eastAsia="ar-SA"/>
        </w:rPr>
        <w:t>NEVYRIAUSYBINIŲ ORGANIZACIJŲ PROJEKTŲ FINANSAVIMO</w:t>
      </w:r>
      <w:r w:rsidRPr="00285C21">
        <w:rPr>
          <w:rFonts w:eastAsia="Times New Roman"/>
          <w:b/>
          <w:caps/>
          <w:lang w:eastAsia="ar-SA"/>
        </w:rPr>
        <w:t xml:space="preserve"> IŠ KĖDAINIŲ RAJONO SAVIVALDYBĖS BIUDŽETO LĖŠŲ KONKURSUI PATEIKTO proJEKTO PARAIŠKOS vertinimO ANKETA </w:t>
      </w:r>
    </w:p>
    <w:p w:rsidR="00285C21" w:rsidRPr="00285C21" w:rsidRDefault="00285C21" w:rsidP="00285C21">
      <w:pPr>
        <w:suppressAutoHyphens/>
        <w:overflowPunct w:val="0"/>
        <w:autoSpaceDE w:val="0"/>
        <w:jc w:val="center"/>
        <w:textAlignment w:val="baseline"/>
        <w:rPr>
          <w:rFonts w:eastAsia="Times New Roman"/>
          <w:sz w:val="23"/>
          <w:szCs w:val="23"/>
          <w:vertAlign w:val="superscript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116"/>
      </w:tblGrid>
      <w:tr w:rsidR="00285C21" w:rsidRPr="00285C21" w:rsidTr="00F708BA">
        <w:trPr>
          <w:trHeight w:val="340"/>
        </w:trPr>
        <w:tc>
          <w:tcPr>
            <w:tcW w:w="2518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7116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285C21" w:rsidRPr="00285C21" w:rsidTr="00F708BA">
        <w:trPr>
          <w:trHeight w:val="340"/>
        </w:trPr>
        <w:tc>
          <w:tcPr>
            <w:tcW w:w="2518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7116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285C21" w:rsidRPr="00285C21" w:rsidTr="00F708BA">
        <w:trPr>
          <w:trHeight w:val="340"/>
        </w:trPr>
        <w:tc>
          <w:tcPr>
            <w:tcW w:w="2518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7116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285C21" w:rsidRPr="00285C21" w:rsidTr="00F708BA">
        <w:trPr>
          <w:trHeight w:val="340"/>
        </w:trPr>
        <w:tc>
          <w:tcPr>
            <w:tcW w:w="2518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>Vertintojas</w:t>
            </w:r>
          </w:p>
        </w:tc>
        <w:tc>
          <w:tcPr>
            <w:tcW w:w="7116" w:type="dxa"/>
            <w:vAlign w:val="center"/>
          </w:tcPr>
          <w:p w:rsidR="00285C21" w:rsidRPr="00285C21" w:rsidRDefault="00285C21" w:rsidP="00285C2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:rsidR="00285C21" w:rsidRPr="00285C21" w:rsidRDefault="00285C21" w:rsidP="00285C21">
      <w:pPr>
        <w:suppressAutoHyphens/>
        <w:overflowPunct w:val="0"/>
        <w:autoSpaceDE w:val="0"/>
        <w:textAlignment w:val="baseline"/>
        <w:rPr>
          <w:rFonts w:eastAsia="Times New Roman"/>
          <w:sz w:val="23"/>
          <w:szCs w:val="23"/>
          <w:vertAlign w:val="superscript"/>
          <w:lang w:eastAsia="ar-SA"/>
        </w:rPr>
      </w:pPr>
      <w:r w:rsidRPr="00285C21">
        <w:rPr>
          <w:rFonts w:eastAsia="Times New Roman"/>
          <w:sz w:val="23"/>
          <w:szCs w:val="23"/>
          <w:vertAlign w:val="superscript"/>
          <w:lang w:eastAsia="ar-SA"/>
        </w:rPr>
        <w:t xml:space="preserve">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278"/>
        <w:gridCol w:w="1390"/>
        <w:gridCol w:w="1120"/>
        <w:gridCol w:w="1269"/>
      </w:tblGrid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Eil. Nr.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Vertinimo kriterijai </w:t>
            </w:r>
          </w:p>
        </w:tc>
        <w:tc>
          <w:tcPr>
            <w:tcW w:w="139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>Didžiausias balų skaičius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Balų ribos 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Skiriamas balas </w:t>
            </w: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1.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Projekto idėjos originalumas, sprendimo pagrįstumas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(projekto idėja yra originali ir (ar) novatoriška, aiškiai pagrįsta ir argumentuota. Pasirinkta projekto įgyvendinimo forma leidžia įgyvendinti išsikeltus tikslus ir uždavinius)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color w:val="000000"/>
                <w:lang w:eastAsia="ar-SA"/>
              </w:rPr>
              <w:t xml:space="preserve">●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atitinka vertinimo kriterijaus aprašą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color w:val="000000"/>
                <w:lang w:eastAsia="ar-SA"/>
              </w:rPr>
              <w:t xml:space="preserve">●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vertinimo kriterijaus aprašą atitinka daugiau nei vidutiniškai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color w:val="000000"/>
                <w:lang w:eastAsia="ar-SA"/>
              </w:rPr>
              <w:t xml:space="preserve">●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vertinimo kriterijaus aprašą atitinka vidutiniškai </w:t>
            </w:r>
          </w:p>
          <w:p w:rsidR="00285C21" w:rsidRPr="00285C21" w:rsidRDefault="00285C21" w:rsidP="00285C21">
            <w:pPr>
              <w:contextualSpacing/>
              <w:jc w:val="both"/>
            </w:pPr>
            <w:r w:rsidRPr="00285C21">
              <w:rPr>
                <w:rFonts w:eastAsia="Times New Roman"/>
                <w:lang w:eastAsia="ar-SA"/>
              </w:rPr>
              <w:t xml:space="preserve">● </w:t>
            </w:r>
            <w:r w:rsidRPr="00285C21">
              <w:t xml:space="preserve">vertinimo kriterijaus aprašą atitinka mažiau nei vidutiniškai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ar-SA"/>
              </w:rPr>
            </w:pPr>
            <w:r w:rsidRPr="00285C21">
              <w:rPr>
                <w:rFonts w:eastAsia="Times New Roman"/>
                <w:color w:val="000000"/>
                <w:lang w:eastAsia="ar-SA"/>
              </w:rPr>
              <w:t xml:space="preserve">●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neatitinka vertinimo kriterijaus aprašo </w:t>
            </w:r>
          </w:p>
        </w:tc>
        <w:tc>
          <w:tcPr>
            <w:tcW w:w="1390" w:type="dxa"/>
            <w:vAlign w:val="center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20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20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b/>
                <w:lang w:eastAsia="ar-SA"/>
              </w:rPr>
              <w:t xml:space="preserve">2.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Projekto atitiktis prioritetams </w:t>
            </w:r>
          </w:p>
          <w:p w:rsidR="00285C21" w:rsidRPr="00285C21" w:rsidRDefault="00285C21" w:rsidP="00285C21">
            <w:pPr>
              <w:suppressAutoHyphens/>
              <w:contextualSpacing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 xml:space="preserve">● </w:t>
            </w:r>
            <w:r w:rsidRPr="00285C21">
              <w:rPr>
                <w:rFonts w:eastAsia="Times New Roman"/>
                <w:sz w:val="22"/>
                <w:szCs w:val="22"/>
                <w:lang w:eastAsia="en-GB"/>
              </w:rPr>
              <w:t xml:space="preserve">į prioritetus atsižvelgta ir jie atsispindi projekto  veiklose </w:t>
            </w:r>
          </w:p>
          <w:p w:rsidR="00285C21" w:rsidRPr="00285C21" w:rsidRDefault="00285C21" w:rsidP="00285C21">
            <w:pPr>
              <w:suppressAutoHyphens/>
              <w:contextualSpacing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●</w:t>
            </w:r>
            <w:r w:rsidRPr="00285C21">
              <w:rPr>
                <w:rFonts w:eastAsia="Times New Roman"/>
                <w:sz w:val="22"/>
                <w:szCs w:val="22"/>
                <w:lang w:eastAsia="en-GB"/>
              </w:rPr>
              <w:t xml:space="preserve">į prioritetus atsižvelgta, tačiau jie menkai atsispindi projekto veiklose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lang w:eastAsia="ar-SA"/>
              </w:rPr>
            </w:pPr>
            <w:r w:rsidRPr="00285C21">
              <w:rPr>
                <w:rFonts w:eastAsia="Times New Roman"/>
                <w:color w:val="000000"/>
                <w:lang w:eastAsia="ar-SA"/>
              </w:rPr>
              <w:t xml:space="preserve">● </w:t>
            </w:r>
            <w:r w:rsidRPr="00285C21">
              <w:rPr>
                <w:rFonts w:eastAsia="Times New Roman"/>
                <w:color w:val="000000"/>
                <w:sz w:val="22"/>
                <w:szCs w:val="22"/>
                <w:lang w:eastAsia="ar-SA"/>
              </w:rPr>
              <w:t>neatsižvelgta į konkurso prioritetus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3.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Projekto svarbumas ir aktualumas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color w:val="000000"/>
                <w:lang w:eastAsia="en-US"/>
              </w:rPr>
              <w:t xml:space="preserve">(projektas yra aktualus, numatomos veiklos yra svarbios, tikslingai pasirinkta poveikio grupė, numatyti konkretūs veiksmai ir priemonės, įtraukiantys vietos gyventojus į projektą)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color w:val="000000"/>
                <w:lang w:eastAsia="ar-SA"/>
              </w:rPr>
              <w:t xml:space="preserve">●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atitinka vertinimo kriterijaus aprašą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color w:val="000000"/>
                <w:lang w:eastAsia="ar-SA"/>
              </w:rPr>
              <w:t>●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 vertinimo kriterijaus aprašą atitinka vidutiniškai </w:t>
            </w:r>
          </w:p>
          <w:p w:rsidR="00285C21" w:rsidRPr="00285C21" w:rsidRDefault="00285C21" w:rsidP="00285C21">
            <w:pPr>
              <w:contextualSpacing/>
              <w:jc w:val="both"/>
              <w:rPr>
                <w:rFonts w:eastAsia="Times New Roman"/>
                <w:b/>
                <w:sz w:val="23"/>
                <w:szCs w:val="23"/>
                <w:lang w:eastAsia="lt-LT"/>
              </w:rPr>
            </w:pPr>
            <w:r w:rsidRPr="00285C21">
              <w:rPr>
                <w:rFonts w:eastAsia="Times New Roman"/>
                <w:lang w:eastAsia="ar-SA"/>
              </w:rPr>
              <w:t xml:space="preserve">● </w:t>
            </w:r>
            <w:r w:rsidRPr="00285C21">
              <w:t>visiškai neatitinka vertinimo kriterijaus aprašo</w:t>
            </w:r>
            <w:r w:rsidRPr="00285C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sz w:val="23"/>
                <w:szCs w:val="23"/>
                <w:lang w:eastAsia="ar-SA"/>
              </w:rPr>
              <w:t>15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sz w:val="23"/>
                <w:szCs w:val="23"/>
                <w:lang w:eastAsia="ar-SA"/>
              </w:rPr>
              <w:t>15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sz w:val="23"/>
                <w:szCs w:val="23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4.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Planuojami projekto rezultatai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color w:val="000000"/>
                <w:lang w:eastAsia="en-US"/>
              </w:rPr>
              <w:t xml:space="preserve">(projekto veikla kryptinga ir (ar) turi realias tęstinumo perspektyvas, planuojami rezultatai pristatyti aiškiai ir suprantamai bei yra realūs ir pasiekiami)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sz w:val="23"/>
                <w:szCs w:val="23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sz w:val="23"/>
                <w:szCs w:val="23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atitinka vertinimo kriterijaus aprašą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sz w:val="23"/>
                <w:szCs w:val="23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sz w:val="23"/>
                <w:szCs w:val="23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vertinimo kriterijaus aprašą atitinka vidutiniškai </w:t>
            </w:r>
          </w:p>
          <w:p w:rsidR="00285C21" w:rsidRPr="00285C21" w:rsidRDefault="00285C21" w:rsidP="00285C21">
            <w:pPr>
              <w:contextualSpacing/>
              <w:jc w:val="both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</w:t>
            </w:r>
            <w:r w:rsidRPr="00285C21">
              <w:t xml:space="preserve">visiškai neatitinka vertinimo kriterijaus aprašo </w:t>
            </w:r>
          </w:p>
        </w:tc>
        <w:tc>
          <w:tcPr>
            <w:tcW w:w="139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b/>
                <w:lang w:eastAsia="ar-SA"/>
              </w:rPr>
              <w:t xml:space="preserve">5.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Projekto viešinimas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(numatyta efektyvi informacijos sklaidos strategija, pasirinktos tinkamos ir efektyvios informacijos sklaidos formos)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atitinka vertinimo kriterijaus aprašą </w:t>
            </w:r>
          </w:p>
          <w:p w:rsidR="00285C21" w:rsidRPr="00285C21" w:rsidRDefault="00285C21" w:rsidP="00285C21">
            <w:pPr>
              <w:overflowPunct w:val="0"/>
              <w:autoSpaceDE w:val="0"/>
              <w:contextualSpacing/>
              <w:textAlignment w:val="baseline"/>
            </w:pPr>
            <w:r w:rsidRPr="00285C21">
              <w:rPr>
                <w:rFonts w:eastAsia="Times New Roman"/>
                <w:b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lang w:eastAsia="ar-SA"/>
              </w:rPr>
              <w:t xml:space="preserve"> </w:t>
            </w:r>
            <w:r w:rsidRPr="00285C21">
              <w:t xml:space="preserve">vertinimo kriterijaus aprašą atitinka vidutiniškai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ar-SA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neatitinka vertinimo kriterijaus aprašo </w:t>
            </w:r>
          </w:p>
        </w:tc>
        <w:tc>
          <w:tcPr>
            <w:tcW w:w="139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3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6. 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Projekto sąmatos pagrįstumas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(projekto sąmatoje nurodytos išlaidos yra tiesiogiai susijusios su projektu ir yra būtinos jo tikslams ir rezultatams pasiekti, detalizuotos ir atitinkančios rinkos kainas)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atitinka vertinimo kriterijaus aprašą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vertinimo kriterijaus aprašą atitinka vidutiniškai </w:t>
            </w:r>
          </w:p>
          <w:p w:rsidR="00285C21" w:rsidRPr="00285C21" w:rsidRDefault="00285C21" w:rsidP="00285C21">
            <w:pPr>
              <w:contextualSpacing/>
              <w:jc w:val="both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b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lang w:eastAsia="ar-SA"/>
              </w:rPr>
              <w:t xml:space="preserve"> </w:t>
            </w:r>
            <w:r w:rsidRPr="00285C21">
              <w:t xml:space="preserve">visiškai neatitinka vertinimo kriterijaus aprašo </w:t>
            </w:r>
          </w:p>
        </w:tc>
        <w:tc>
          <w:tcPr>
            <w:tcW w:w="139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20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20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7.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Projekto vykdytojo, partnerių, rėmėjų indėlis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(projekto įgyvendinimui pritraukiamos lėšos iš kitų projekto finansavimo šaltinių, numatytas rėmėjų indėlis (finansinis, dalykinis ir pan.)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atitinka vertinimo kriterijaus aprašą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vertinimo kriterijaus aprašą atitinka vidutiniškai </w:t>
            </w:r>
          </w:p>
          <w:p w:rsidR="00285C21" w:rsidRPr="00285C21" w:rsidRDefault="00285C21" w:rsidP="00285C21">
            <w:pPr>
              <w:contextualSpacing/>
              <w:jc w:val="both"/>
              <w:rPr>
                <w:rFonts w:eastAsia="Times New Roman"/>
                <w:b/>
                <w:lang w:eastAsia="lt-LT"/>
              </w:rPr>
            </w:pPr>
            <w:r w:rsidRPr="00285C21">
              <w:rPr>
                <w:rFonts w:eastAsia="Times New Roman"/>
                <w:b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lang w:eastAsia="ar-SA"/>
              </w:rPr>
              <w:t xml:space="preserve"> </w:t>
            </w:r>
            <w:r w:rsidRPr="00285C21">
              <w:t xml:space="preserve">visiškai neatitinka vertinimo kriterijaus aprašo </w:t>
            </w:r>
          </w:p>
        </w:tc>
        <w:tc>
          <w:tcPr>
            <w:tcW w:w="139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8. </w:t>
            </w:r>
          </w:p>
        </w:tc>
        <w:tc>
          <w:tcPr>
            <w:tcW w:w="5278" w:type="dxa"/>
          </w:tcPr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Bendradarbiavimas, bendruomenės įtraukimas, projekto poveikis bendruomenei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Theme="minorHAnsi"/>
                <w:color w:val="000000"/>
                <w:lang w:eastAsia="en-US"/>
              </w:rPr>
              <w:t xml:space="preserve">(projektas orientuotas į bendruomenės dalyvavimą sprendžiant problemas, matomas ryškus bendruomenės sąmoningumo kėlimas, platūs bendradarbiavimo ir bendravimo mastai, ryšiai su kitomis bendruomenės grupėmis?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visiškai atitinka vertinimo kriterijaus aprašą </w:t>
            </w:r>
          </w:p>
          <w:p w:rsidR="00285C21" w:rsidRPr="00285C21" w:rsidRDefault="00285C21" w:rsidP="00285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85C21">
              <w:rPr>
                <w:rFonts w:eastAsia="Times New Roman"/>
                <w:b/>
                <w:color w:val="000000"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285C21">
              <w:rPr>
                <w:rFonts w:eastAsiaTheme="minorHAnsi"/>
                <w:color w:val="000000"/>
                <w:lang w:eastAsia="en-US"/>
              </w:rPr>
              <w:t xml:space="preserve">vertinimo kriterijaus aprašą atitinka vidutiniškai </w:t>
            </w:r>
          </w:p>
          <w:p w:rsidR="00285C21" w:rsidRPr="00285C21" w:rsidRDefault="00285C21" w:rsidP="00285C2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eastAsia="Times New Roman"/>
                <w:b/>
                <w:lang w:eastAsia="ar-SA"/>
              </w:rPr>
            </w:pPr>
            <w:r w:rsidRPr="00285C21">
              <w:rPr>
                <w:rFonts w:eastAsia="Times New Roman"/>
                <w:b/>
                <w:lang w:eastAsia="ar-SA"/>
              </w:rPr>
              <w:sym w:font="Symbol" w:char="F0B7"/>
            </w:r>
            <w:r w:rsidRPr="00285C21">
              <w:rPr>
                <w:rFonts w:eastAsia="Times New Roman"/>
                <w:b/>
                <w:lang w:eastAsia="ar-SA"/>
              </w:rPr>
              <w:t xml:space="preserve"> </w:t>
            </w:r>
            <w:r w:rsidRPr="00285C21">
              <w:t xml:space="preserve">visiškai neatitinka vertinimo kriterijaus aprašo </w:t>
            </w:r>
          </w:p>
        </w:tc>
        <w:tc>
          <w:tcPr>
            <w:tcW w:w="139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10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5</w:t>
            </w:r>
          </w:p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285C21"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lang w:eastAsia="ar-SA"/>
              </w:rPr>
            </w:pPr>
          </w:p>
        </w:tc>
      </w:tr>
      <w:tr w:rsidR="00285C21" w:rsidRPr="00285C21" w:rsidTr="00F708BA">
        <w:tc>
          <w:tcPr>
            <w:tcW w:w="570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</w:p>
        </w:tc>
        <w:tc>
          <w:tcPr>
            <w:tcW w:w="5278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                                                          Balų suma: </w:t>
            </w:r>
          </w:p>
        </w:tc>
        <w:tc>
          <w:tcPr>
            <w:tcW w:w="139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sz w:val="23"/>
                <w:szCs w:val="23"/>
                <w:lang w:eastAsia="ar-SA"/>
              </w:rPr>
            </w:pPr>
            <w:r w:rsidRPr="00285C21">
              <w:rPr>
                <w:rFonts w:eastAsia="Times New Roman"/>
                <w:b/>
                <w:sz w:val="23"/>
                <w:szCs w:val="23"/>
                <w:lang w:eastAsia="ar-SA"/>
              </w:rPr>
              <w:t>100</w:t>
            </w:r>
          </w:p>
        </w:tc>
        <w:tc>
          <w:tcPr>
            <w:tcW w:w="1120" w:type="dxa"/>
          </w:tcPr>
          <w:p w:rsidR="00285C21" w:rsidRPr="00285C21" w:rsidRDefault="00285C21" w:rsidP="00285C21">
            <w:pPr>
              <w:suppressAutoHyphens/>
              <w:jc w:val="center"/>
              <w:rPr>
                <w:rFonts w:eastAsia="Times New Roman"/>
                <w:b/>
                <w:sz w:val="23"/>
                <w:szCs w:val="23"/>
                <w:lang w:eastAsia="ar-SA"/>
              </w:rPr>
            </w:pPr>
          </w:p>
        </w:tc>
        <w:tc>
          <w:tcPr>
            <w:tcW w:w="1269" w:type="dxa"/>
          </w:tcPr>
          <w:p w:rsidR="00285C21" w:rsidRPr="00285C21" w:rsidRDefault="00285C21" w:rsidP="00285C21">
            <w:pPr>
              <w:suppressAutoHyphens/>
              <w:jc w:val="both"/>
              <w:rPr>
                <w:rFonts w:eastAsia="Times New Roman"/>
                <w:b/>
                <w:sz w:val="23"/>
                <w:szCs w:val="23"/>
                <w:lang w:eastAsia="ar-SA"/>
              </w:rPr>
            </w:pPr>
          </w:p>
        </w:tc>
      </w:tr>
    </w:tbl>
    <w:p w:rsidR="00285C21" w:rsidRPr="00285C21" w:rsidRDefault="00285C21" w:rsidP="00285C21">
      <w:pPr>
        <w:suppressAutoHyphens/>
        <w:overflowPunct w:val="0"/>
        <w:autoSpaceDE w:val="0"/>
        <w:textAlignment w:val="baseline"/>
        <w:rPr>
          <w:rFonts w:eastAsia="Times New Roman"/>
          <w:sz w:val="23"/>
          <w:szCs w:val="23"/>
          <w:vertAlign w:val="superscript"/>
          <w:lang w:eastAsia="ar-SA"/>
        </w:rPr>
      </w:pPr>
    </w:p>
    <w:p w:rsidR="00285C21" w:rsidRPr="00285C21" w:rsidRDefault="009F6B61" w:rsidP="00285C21">
      <w:pPr>
        <w:suppressAutoHyphens/>
        <w:overflowPunct w:val="0"/>
        <w:autoSpaceDE w:val="0"/>
        <w:textAlignment w:val="baseline"/>
        <w:rPr>
          <w:rFonts w:eastAsia="Times New Roman"/>
          <w:sz w:val="23"/>
          <w:szCs w:val="23"/>
          <w:lang w:eastAsia="ar-SA"/>
        </w:rPr>
      </w:pPr>
      <w:r>
        <w:rPr>
          <w:rFonts w:eastAsia="Times New Roman"/>
          <w:sz w:val="23"/>
          <w:szCs w:val="23"/>
          <w:lang w:eastAsia="ar-SA"/>
        </w:rPr>
        <w:t xml:space="preserve">Recenzento </w:t>
      </w:r>
      <w:r w:rsidR="00285C21" w:rsidRPr="00285C21">
        <w:rPr>
          <w:rFonts w:eastAsia="Times New Roman"/>
          <w:sz w:val="23"/>
          <w:szCs w:val="23"/>
          <w:lang w:eastAsia="ar-SA"/>
        </w:rPr>
        <w:t xml:space="preserve">išvada: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85C21" w:rsidRPr="009F6B61" w:rsidTr="00F708BA">
        <w:tc>
          <w:tcPr>
            <w:tcW w:w="9627" w:type="dxa"/>
          </w:tcPr>
          <w:p w:rsidR="00285C2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9F6B61">
              <w:rPr>
                <w:rFonts w:eastAsia="Times New Roman"/>
                <w:b/>
                <w:lang w:eastAsia="ar-SA"/>
              </w:rPr>
              <w:t>Projekto privalumai:</w:t>
            </w:r>
          </w:p>
          <w:p w:rsidR="009F6B61" w:rsidRPr="009F6B61" w:rsidRDefault="009F6B6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</w:p>
        </w:tc>
      </w:tr>
      <w:tr w:rsidR="00285C21" w:rsidRPr="009F6B61" w:rsidTr="00F708BA">
        <w:tc>
          <w:tcPr>
            <w:tcW w:w="9627" w:type="dxa"/>
          </w:tcPr>
          <w:p w:rsidR="00285C2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9F6B61">
              <w:rPr>
                <w:rFonts w:eastAsia="Times New Roman"/>
                <w:b/>
                <w:lang w:eastAsia="ar-SA"/>
              </w:rPr>
              <w:t xml:space="preserve">Projekto trūkumai: </w:t>
            </w:r>
          </w:p>
          <w:p w:rsidR="009F6B61" w:rsidRPr="009F6B61" w:rsidRDefault="009F6B6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</w:p>
        </w:tc>
      </w:tr>
      <w:tr w:rsidR="00285C21" w:rsidRPr="009F6B61" w:rsidTr="005F13A6">
        <w:trPr>
          <w:trHeight w:val="1579"/>
        </w:trPr>
        <w:tc>
          <w:tcPr>
            <w:tcW w:w="9627" w:type="dxa"/>
          </w:tcPr>
          <w:p w:rsidR="00285C2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  <w:r w:rsidRPr="009F6B61">
              <w:rPr>
                <w:rFonts w:eastAsia="Times New Roman"/>
                <w:b/>
                <w:lang w:eastAsia="ar-SA"/>
              </w:rPr>
              <w:t xml:space="preserve">Išvada </w:t>
            </w:r>
            <w:r w:rsidRPr="009F6B61">
              <w:rPr>
                <w:rFonts w:eastAsia="Times New Roman"/>
                <w:lang w:eastAsia="ar-SA"/>
              </w:rPr>
              <w:t>(finansuoti, iš dalies finansuoti (nurodant siūlomų skirti lėšų sumą), nefinansuoti):  nefinansuoti):</w:t>
            </w:r>
          </w:p>
          <w:p w:rsidR="009F6B61" w:rsidRDefault="009F6B6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  <w:p w:rsidR="009F6B61" w:rsidRDefault="009F6B6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  <w:p w:rsidR="009F6B61" w:rsidRDefault="009F6B6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  <w:p w:rsidR="009F6B61" w:rsidRPr="009F6B61" w:rsidRDefault="009F6B6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  <w:p w:rsidR="00285C21" w:rsidRPr="009F6B61" w:rsidRDefault="00285C21" w:rsidP="00285C2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</w:tr>
    </w:tbl>
    <w:p w:rsidR="00285C21" w:rsidRPr="009F6B61" w:rsidRDefault="00285C21" w:rsidP="00285C21">
      <w:pPr>
        <w:suppressAutoHyphens/>
        <w:overflowPunct w:val="0"/>
        <w:autoSpaceDE w:val="0"/>
        <w:textAlignment w:val="baseline"/>
        <w:rPr>
          <w:rFonts w:eastAsia="Times New Roman"/>
          <w:b/>
          <w:lang w:eastAsia="ar-SA"/>
        </w:rPr>
      </w:pPr>
    </w:p>
    <w:p w:rsidR="00110FF5" w:rsidRPr="009F6B61" w:rsidRDefault="00110FF5" w:rsidP="00285C21">
      <w:pPr>
        <w:suppressAutoHyphens/>
        <w:overflowPunct w:val="0"/>
        <w:autoSpaceDE w:val="0"/>
        <w:textAlignment w:val="baseline"/>
        <w:rPr>
          <w:rFonts w:eastAsia="Times New Roman"/>
          <w:lang w:eastAsia="ar-SA"/>
        </w:rPr>
      </w:pPr>
    </w:p>
    <w:p w:rsidR="00285C21" w:rsidRDefault="009F6B61" w:rsidP="009F6B61">
      <w:pPr>
        <w:suppressAutoHyphens/>
        <w:jc w:val="both"/>
        <w:rPr>
          <w:rFonts w:eastAsia="Times New Roman"/>
          <w:lang w:eastAsia="ar-SA"/>
        </w:rPr>
      </w:pPr>
      <w:r w:rsidRPr="009F6B61">
        <w:rPr>
          <w:rFonts w:eastAsia="Times New Roman"/>
          <w:lang w:eastAsia="ar-SA"/>
        </w:rPr>
        <w:t xml:space="preserve">Recenzento vardas, pavardė                                          Parašas                                                      Data </w:t>
      </w:r>
    </w:p>
    <w:p w:rsidR="00B31258" w:rsidRPr="001723E2" w:rsidRDefault="00B31258" w:rsidP="001723E2">
      <w:pPr>
        <w:jc w:val="both"/>
        <w:rPr>
          <w:sz w:val="23"/>
          <w:szCs w:val="23"/>
        </w:rPr>
      </w:pPr>
    </w:p>
    <w:sectPr w:rsidR="00B31258" w:rsidRPr="001723E2" w:rsidSect="005F13A6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21"/>
    <w:rsid w:val="000A5AE5"/>
    <w:rsid w:val="000F560C"/>
    <w:rsid w:val="00110FF5"/>
    <w:rsid w:val="001219E0"/>
    <w:rsid w:val="001723E2"/>
    <w:rsid w:val="002065AF"/>
    <w:rsid w:val="00285C21"/>
    <w:rsid w:val="005F13A6"/>
    <w:rsid w:val="006435DD"/>
    <w:rsid w:val="007044FD"/>
    <w:rsid w:val="00704A99"/>
    <w:rsid w:val="009C393F"/>
    <w:rsid w:val="009F6B61"/>
    <w:rsid w:val="00AE219F"/>
    <w:rsid w:val="00B31258"/>
    <w:rsid w:val="00BE7A1F"/>
    <w:rsid w:val="00C73023"/>
    <w:rsid w:val="00CA78A3"/>
    <w:rsid w:val="00CD3255"/>
    <w:rsid w:val="00CD7CD3"/>
    <w:rsid w:val="00D151AF"/>
    <w:rsid w:val="00D83C1E"/>
    <w:rsid w:val="00DC7952"/>
    <w:rsid w:val="00E71A69"/>
    <w:rsid w:val="00F0659C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1A494-7B96-4C04-B25D-FCA2CF8F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5C21"/>
    <w:pPr>
      <w:jc w:val="left"/>
    </w:pPr>
    <w:rPr>
      <w:rFonts w:eastAsia="SimSun" w:cs="Times New Roman"/>
      <w:szCs w:val="24"/>
      <w:lang w:eastAsia="zh-CN"/>
    </w:rPr>
  </w:style>
  <w:style w:type="paragraph" w:styleId="Antrat9">
    <w:name w:val="heading 9"/>
    <w:basedOn w:val="prastasis"/>
    <w:next w:val="prastasis"/>
    <w:link w:val="Antrat9Diagrama"/>
    <w:qFormat/>
    <w:rsid w:val="00110FF5"/>
    <w:pPr>
      <w:keepNext/>
      <w:widowControl w:val="0"/>
      <w:tabs>
        <w:tab w:val="num" w:pos="0"/>
        <w:tab w:val="left" w:pos="360"/>
      </w:tabs>
      <w:suppressAutoHyphens/>
      <w:outlineLvl w:val="8"/>
    </w:pPr>
    <w:rPr>
      <w:rFonts w:eastAsia="Lucida Sans Unicode"/>
      <w:b/>
      <w:caps/>
      <w:sz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10FF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10FF5"/>
    <w:rPr>
      <w:rFonts w:eastAsia="SimSun" w:cs="Times New Roman"/>
      <w:szCs w:val="24"/>
      <w:lang w:eastAsia="zh-CN"/>
    </w:rPr>
  </w:style>
  <w:style w:type="character" w:customStyle="1" w:styleId="Antrat9Diagrama">
    <w:name w:val="Antraštė 9 Diagrama"/>
    <w:basedOn w:val="Numatytasispastraiposriftas"/>
    <w:link w:val="Antrat9"/>
    <w:rsid w:val="00110FF5"/>
    <w:rPr>
      <w:rFonts w:eastAsia="Lucida Sans Unicode" w:cs="Times New Roman"/>
      <w:b/>
      <w:caps/>
      <w:sz w:val="22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9F6B6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04A9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04A99"/>
    <w:rPr>
      <w:rFonts w:eastAsia="SimSun" w:cs="Times New Roman"/>
      <w:szCs w:val="24"/>
      <w:lang w:eastAsia="zh-CN"/>
    </w:rPr>
  </w:style>
  <w:style w:type="paragraph" w:customStyle="1" w:styleId="Default">
    <w:name w:val="Default"/>
    <w:rsid w:val="00B31258"/>
    <w:pPr>
      <w:suppressAutoHyphens/>
      <w:autoSpaceDE w:val="0"/>
      <w:jc w:val="left"/>
    </w:pPr>
    <w:rPr>
      <w:rFonts w:eastAsia="Arial" w:cs="Times New Roman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3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3E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7</cp:revision>
  <cp:lastPrinted>2018-03-13T14:14:00Z</cp:lastPrinted>
  <dcterms:created xsi:type="dcterms:W3CDTF">2018-03-12T14:57:00Z</dcterms:created>
  <dcterms:modified xsi:type="dcterms:W3CDTF">2018-04-03T08:37:00Z</dcterms:modified>
</cp:coreProperties>
</file>