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6D" w:rsidRPr="0058636D" w:rsidRDefault="0058636D" w:rsidP="0058636D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lo-LA"/>
        </w:rPr>
      </w:pPr>
      <w:r w:rsidRPr="0058636D">
        <w:rPr>
          <w:rFonts w:ascii="Times New Roman" w:eastAsia="Calibri" w:hAnsi="Times New Roman" w:cs="Times New Roman"/>
          <w:sz w:val="24"/>
          <w:lang w:bidi="lo-LA"/>
        </w:rPr>
        <w:t xml:space="preserve">                                                                                      PRITARTA</w:t>
      </w:r>
    </w:p>
    <w:p w:rsidR="0058636D" w:rsidRPr="0058636D" w:rsidRDefault="0058636D" w:rsidP="0058636D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lo-LA"/>
        </w:rPr>
      </w:pPr>
      <w:r w:rsidRPr="0058636D">
        <w:rPr>
          <w:rFonts w:ascii="Times New Roman" w:eastAsia="Calibri" w:hAnsi="Times New Roman" w:cs="Times New Roman"/>
          <w:sz w:val="24"/>
          <w:lang w:bidi="lo-LA"/>
        </w:rPr>
        <w:tab/>
      </w:r>
      <w:r w:rsidRPr="0058636D">
        <w:rPr>
          <w:rFonts w:ascii="Times New Roman" w:eastAsia="Calibri" w:hAnsi="Times New Roman" w:cs="Times New Roman"/>
          <w:sz w:val="24"/>
          <w:lang w:bidi="lo-LA"/>
        </w:rPr>
        <w:tab/>
      </w:r>
      <w:r w:rsidRPr="0058636D">
        <w:rPr>
          <w:rFonts w:ascii="Times New Roman" w:eastAsia="Calibri" w:hAnsi="Times New Roman" w:cs="Times New Roman"/>
          <w:sz w:val="24"/>
          <w:lang w:bidi="lo-LA"/>
        </w:rPr>
        <w:tab/>
      </w:r>
      <w:r w:rsidRPr="0058636D">
        <w:rPr>
          <w:rFonts w:ascii="Times New Roman" w:eastAsia="Calibri" w:hAnsi="Times New Roman" w:cs="Times New Roman"/>
          <w:sz w:val="24"/>
          <w:lang w:bidi="lo-LA"/>
        </w:rPr>
        <w:tab/>
        <w:t xml:space="preserve">            </w:t>
      </w:r>
      <w:r w:rsidRPr="0058636D">
        <w:rPr>
          <w:rFonts w:ascii="Times New Roman" w:eastAsia="Calibri" w:hAnsi="Times New Roman" w:cs="Times New Roman"/>
          <w:sz w:val="24"/>
          <w:lang w:bidi="lo-LA"/>
        </w:rPr>
        <w:tab/>
        <w:t xml:space="preserve">Kėdainių rajono savivaldybės tarybos </w:t>
      </w:r>
    </w:p>
    <w:p w:rsidR="0058636D" w:rsidRPr="0058636D" w:rsidRDefault="0058636D" w:rsidP="0058636D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lo-LA"/>
        </w:rPr>
      </w:pPr>
      <w:r w:rsidRPr="0058636D">
        <w:rPr>
          <w:rFonts w:ascii="Times New Roman" w:eastAsia="Calibri" w:hAnsi="Times New Roman" w:cs="Times New Roman"/>
          <w:sz w:val="24"/>
          <w:lang w:bidi="lo-LA"/>
        </w:rPr>
        <w:tab/>
      </w:r>
      <w:r w:rsidRPr="0058636D">
        <w:rPr>
          <w:rFonts w:ascii="Times New Roman" w:eastAsia="Calibri" w:hAnsi="Times New Roman" w:cs="Times New Roman"/>
          <w:sz w:val="24"/>
          <w:lang w:bidi="lo-LA"/>
        </w:rPr>
        <w:tab/>
      </w:r>
      <w:r w:rsidRPr="0058636D">
        <w:rPr>
          <w:rFonts w:ascii="Times New Roman" w:eastAsia="Calibri" w:hAnsi="Times New Roman" w:cs="Times New Roman"/>
          <w:sz w:val="24"/>
          <w:lang w:bidi="lo-LA"/>
        </w:rPr>
        <w:tab/>
      </w:r>
      <w:r w:rsidRPr="0058636D">
        <w:rPr>
          <w:rFonts w:ascii="Times New Roman" w:eastAsia="Calibri" w:hAnsi="Times New Roman" w:cs="Times New Roman"/>
          <w:sz w:val="24"/>
          <w:lang w:bidi="lo-LA"/>
        </w:rPr>
        <w:tab/>
      </w:r>
      <w:r w:rsidRPr="0058636D">
        <w:rPr>
          <w:rFonts w:ascii="Times New Roman" w:eastAsia="Calibri" w:hAnsi="Times New Roman" w:cs="Times New Roman"/>
          <w:sz w:val="24"/>
          <w:lang w:bidi="lo-LA"/>
        </w:rPr>
        <w:tab/>
        <w:t>2018 m</w:t>
      </w:r>
      <w:r>
        <w:rPr>
          <w:rFonts w:ascii="Times New Roman" w:eastAsia="Calibri" w:hAnsi="Times New Roman" w:cs="Times New Roman"/>
          <w:sz w:val="24"/>
          <w:lang w:bidi="lo-LA"/>
        </w:rPr>
        <w:t>. kovo 30 d. sprendimu Nr. TS-47</w:t>
      </w:r>
    </w:p>
    <w:p w:rsidR="0058636D" w:rsidRDefault="0058636D" w:rsidP="00505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47B" w:rsidRPr="00FC1A37" w:rsidRDefault="0093247B" w:rsidP="00505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A37">
        <w:rPr>
          <w:rFonts w:ascii="Times New Roman" w:hAnsi="Times New Roman" w:cs="Times New Roman"/>
          <w:b/>
          <w:sz w:val="24"/>
          <w:szCs w:val="24"/>
        </w:rPr>
        <w:t>VIEŠOSIOS ĮSTAIGOS „GYVENIMO NAMAI SUTRIKUSIO INTELEKTO ASMENIMS“</w:t>
      </w:r>
    </w:p>
    <w:p w:rsidR="0093247B" w:rsidRPr="00FC1A37" w:rsidRDefault="0093247B" w:rsidP="00505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47B" w:rsidRPr="00FD1EBB" w:rsidRDefault="0093247B" w:rsidP="00505D20">
      <w:pPr>
        <w:pStyle w:val="Sraopastraipa"/>
        <w:tabs>
          <w:tab w:val="left" w:pos="2055"/>
        </w:tabs>
        <w:spacing w:after="0"/>
        <w:ind w:left="8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MET</w:t>
      </w:r>
      <w:r w:rsidRPr="00FD1EBB">
        <w:rPr>
          <w:rFonts w:ascii="Times New Roman" w:hAnsi="Times New Roman" w:cs="Times New Roman"/>
          <w:b/>
          <w:sz w:val="24"/>
          <w:szCs w:val="24"/>
        </w:rPr>
        <w:t>Ų VADOVO ATASKAITA</w:t>
      </w:r>
    </w:p>
    <w:p w:rsidR="0093247B" w:rsidRDefault="0093247B" w:rsidP="00505D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47B" w:rsidRDefault="00505D20" w:rsidP="00505D20">
      <w:pPr>
        <w:pStyle w:val="Sraopastraipa"/>
        <w:tabs>
          <w:tab w:val="left" w:pos="1575"/>
        </w:tabs>
        <w:spacing w:line="360" w:lineRule="auto"/>
        <w:ind w:left="22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3247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3247B" w:rsidRPr="00FC1A37">
        <w:rPr>
          <w:rFonts w:ascii="Times New Roman" w:hAnsi="Times New Roman" w:cs="Times New Roman"/>
          <w:b/>
          <w:sz w:val="24"/>
          <w:szCs w:val="24"/>
        </w:rPr>
        <w:t>BENDRA INFORMACIJA</w:t>
      </w:r>
    </w:p>
    <w:p w:rsidR="00A0341A" w:rsidRPr="00FC1A37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</w:t>
      </w:r>
      <w:r w:rsidRPr="00FC1A37">
        <w:rPr>
          <w:rFonts w:ascii="Times New Roman" w:hAnsi="Times New Roman" w:cs="Times New Roman"/>
          <w:sz w:val="24"/>
          <w:szCs w:val="24"/>
        </w:rPr>
        <w:t>Viešoji įstaiga „Gyvenimo namai sutrikusio intelekto asmenims“</w:t>
      </w:r>
      <w:r w:rsidR="00182A57">
        <w:rPr>
          <w:rFonts w:ascii="Times New Roman" w:hAnsi="Times New Roman" w:cs="Times New Roman"/>
          <w:sz w:val="24"/>
          <w:szCs w:val="24"/>
        </w:rPr>
        <w:t>(toliau - Įstaiga) yra Lietuvos Respublikos viešųjų įstaigų įstatymo numatyta tvarka įsteigtas pelno nesiekiantis ribotos civilinės atsakomybės viešasis</w:t>
      </w:r>
      <w:r w:rsidR="00334C37">
        <w:rPr>
          <w:rFonts w:ascii="Times New Roman" w:hAnsi="Times New Roman" w:cs="Times New Roman"/>
          <w:sz w:val="24"/>
          <w:szCs w:val="24"/>
        </w:rPr>
        <w:t xml:space="preserve"> juridinis asmuo, kurio tikslas </w:t>
      </w:r>
      <w:r w:rsidR="00182A57">
        <w:rPr>
          <w:rFonts w:ascii="Times New Roman" w:hAnsi="Times New Roman" w:cs="Times New Roman"/>
          <w:sz w:val="24"/>
          <w:szCs w:val="24"/>
        </w:rPr>
        <w:t>– tenkinti viešuosius interesus, vykdant visuomenei naudingą veiklą</w:t>
      </w:r>
      <w:r w:rsidR="00AC293C">
        <w:rPr>
          <w:rFonts w:ascii="Times New Roman" w:hAnsi="Times New Roman" w:cs="Times New Roman"/>
          <w:sz w:val="24"/>
          <w:szCs w:val="24"/>
        </w:rPr>
        <w:t xml:space="preserve"> –</w:t>
      </w:r>
      <w:r w:rsidR="00182A57">
        <w:rPr>
          <w:rFonts w:ascii="Times New Roman" w:hAnsi="Times New Roman" w:cs="Times New Roman"/>
          <w:sz w:val="24"/>
          <w:szCs w:val="24"/>
        </w:rPr>
        <w:t xml:space="preserve"> </w:t>
      </w:r>
      <w:r w:rsidR="00AC293C">
        <w:rPr>
          <w:rFonts w:ascii="Times New Roman" w:hAnsi="Times New Roman" w:cs="Times New Roman"/>
          <w:sz w:val="24"/>
          <w:szCs w:val="24"/>
        </w:rPr>
        <w:t>skatinti proto negalios asmenų integracijos į visuomenę</w:t>
      </w:r>
      <w:r w:rsidR="00AC293C" w:rsidRPr="00AC293C">
        <w:rPr>
          <w:rFonts w:ascii="Times New Roman" w:hAnsi="Times New Roman" w:cs="Times New Roman"/>
          <w:sz w:val="24"/>
          <w:szCs w:val="24"/>
        </w:rPr>
        <w:t xml:space="preserve"> </w:t>
      </w:r>
      <w:r w:rsidR="00AC293C">
        <w:rPr>
          <w:rFonts w:ascii="Times New Roman" w:hAnsi="Times New Roman" w:cs="Times New Roman"/>
          <w:sz w:val="24"/>
          <w:szCs w:val="24"/>
        </w:rPr>
        <w:t>procesą, lavinant ir ugdant jų gebėjimus pasirūpinti savimi.</w:t>
      </w:r>
      <w:r w:rsidR="00A0341A">
        <w:rPr>
          <w:rFonts w:ascii="Times New Roman" w:hAnsi="Times New Roman" w:cs="Times New Roman"/>
          <w:sz w:val="24"/>
          <w:szCs w:val="24"/>
        </w:rPr>
        <w:t xml:space="preserve"> Įstaigai nuo 2010 metų vasario 18 d. vadovauja direktorė Asta </w:t>
      </w:r>
      <w:proofErr w:type="spellStart"/>
      <w:r w:rsidR="00A0341A">
        <w:rPr>
          <w:rFonts w:ascii="Times New Roman" w:hAnsi="Times New Roman" w:cs="Times New Roman"/>
          <w:sz w:val="24"/>
          <w:szCs w:val="24"/>
        </w:rPr>
        <w:t>Rekštienė</w:t>
      </w:r>
      <w:proofErr w:type="spellEnd"/>
      <w:r w:rsidR="00A0341A">
        <w:rPr>
          <w:rFonts w:ascii="Times New Roman" w:hAnsi="Times New Roman" w:cs="Times New Roman"/>
          <w:sz w:val="24"/>
          <w:szCs w:val="24"/>
        </w:rPr>
        <w:t>.</w:t>
      </w:r>
    </w:p>
    <w:p w:rsidR="00334C37" w:rsidRDefault="00AC293C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Įstaiga įsteigta 2010 metų vasario 18 d., </w:t>
      </w:r>
      <w:r w:rsidR="0093247B" w:rsidRPr="00FC1A37">
        <w:rPr>
          <w:rFonts w:ascii="Times New Roman" w:hAnsi="Times New Roman" w:cs="Times New Roman"/>
          <w:sz w:val="24"/>
          <w:szCs w:val="24"/>
        </w:rPr>
        <w:t xml:space="preserve">įregistruota Valstybės įmonės Registrų centro Juridinių asmenų registre 2010 m. birželio 3 d. </w:t>
      </w:r>
      <w:r w:rsidR="00334C37">
        <w:rPr>
          <w:rFonts w:ascii="Times New Roman" w:hAnsi="Times New Roman" w:cs="Times New Roman"/>
          <w:sz w:val="24"/>
          <w:szCs w:val="24"/>
        </w:rPr>
        <w:t>Įstaiga turi paramos gavėjo statusą.</w:t>
      </w:r>
    </w:p>
    <w:p w:rsidR="00334C37" w:rsidRDefault="00334C37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247B" w:rsidRPr="00FC1A37">
        <w:rPr>
          <w:rFonts w:ascii="Times New Roman" w:hAnsi="Times New Roman" w:cs="Times New Roman"/>
          <w:sz w:val="24"/>
          <w:szCs w:val="24"/>
        </w:rPr>
        <w:t xml:space="preserve">Įstaigos kodas – 302518681. </w:t>
      </w:r>
    </w:p>
    <w:p w:rsidR="0093247B" w:rsidRPr="00FC1A37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C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1A37">
        <w:rPr>
          <w:rFonts w:ascii="Times New Roman" w:hAnsi="Times New Roman" w:cs="Times New Roman"/>
          <w:sz w:val="24"/>
          <w:szCs w:val="24"/>
        </w:rPr>
        <w:t>Įstaigos adresas:  P. Lukšio g. 16, LT-57202 Kėdainiai.</w:t>
      </w:r>
    </w:p>
    <w:p w:rsidR="0093247B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1A37">
        <w:rPr>
          <w:rFonts w:ascii="Times New Roman" w:hAnsi="Times New Roman" w:cs="Times New Roman"/>
          <w:sz w:val="24"/>
          <w:szCs w:val="24"/>
        </w:rPr>
        <w:t>Tel./faks. (8 347) 50 615</w:t>
      </w:r>
      <w:r w:rsidR="00AC293C">
        <w:rPr>
          <w:rFonts w:ascii="Times New Roman" w:hAnsi="Times New Roman" w:cs="Times New Roman"/>
          <w:sz w:val="24"/>
          <w:szCs w:val="24"/>
        </w:rPr>
        <w:t>.</w:t>
      </w:r>
    </w:p>
    <w:p w:rsidR="00182A57" w:rsidRPr="00FC1A37" w:rsidRDefault="00182A57" w:rsidP="00621EF2">
      <w:pPr>
        <w:spacing w:after="0" w:line="36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:rsidR="0093247B" w:rsidRPr="00FD1EBB" w:rsidRDefault="0093247B" w:rsidP="00621E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 w:rsidRPr="00FD1EBB">
        <w:rPr>
          <w:rFonts w:ascii="Times New Roman" w:hAnsi="Times New Roman" w:cs="Times New Roman"/>
          <w:b/>
          <w:sz w:val="24"/>
          <w:szCs w:val="24"/>
        </w:rPr>
        <w:t>VIEŠOSIOS ĮSTAIGOS DALININKAI</w:t>
      </w:r>
    </w:p>
    <w:p w:rsidR="00182A57" w:rsidRDefault="00182A57" w:rsidP="00621EF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3247B" w:rsidRPr="00FD1EBB" w:rsidRDefault="0093247B" w:rsidP="00621EF2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EBB">
        <w:rPr>
          <w:rFonts w:ascii="Times New Roman" w:hAnsi="Times New Roman" w:cs="Times New Roman"/>
          <w:sz w:val="24"/>
          <w:szCs w:val="24"/>
        </w:rPr>
        <w:t xml:space="preserve">Viešosios įstaigos steigėjai – Kėdainių rajono savivaldybė, Sutrikusio intelekto žmonių globos bendrija „Kėdainių viltis“, Lietuvos sutrikusio intelekto žmonių globos bendrija „Viltis“. Viešosios įstaigos dalininkai : </w:t>
      </w:r>
    </w:p>
    <w:p w:rsidR="0093247B" w:rsidRPr="00FD1EBB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EBB">
        <w:rPr>
          <w:rFonts w:ascii="Times New Roman" w:hAnsi="Times New Roman" w:cs="Times New Roman"/>
          <w:sz w:val="24"/>
          <w:szCs w:val="24"/>
        </w:rPr>
        <w:t>Kėdainių rajono savivaldybė, kurios dalininko įnašas vi</w:t>
      </w:r>
      <w:r w:rsidR="00316DFD">
        <w:rPr>
          <w:rFonts w:ascii="Times New Roman" w:hAnsi="Times New Roman" w:cs="Times New Roman"/>
          <w:sz w:val="24"/>
          <w:szCs w:val="24"/>
        </w:rPr>
        <w:t>ešosios įstaigos kapitale – 0,29</w:t>
      </w:r>
      <w:r w:rsidRPr="00FD1EBB">
        <w:rPr>
          <w:rFonts w:ascii="Times New Roman" w:hAnsi="Times New Roman" w:cs="Times New Roman"/>
          <w:sz w:val="24"/>
          <w:szCs w:val="24"/>
        </w:rPr>
        <w:t xml:space="preserve"> euro, </w:t>
      </w:r>
    </w:p>
    <w:p w:rsidR="0093247B" w:rsidRPr="00FD1EBB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EBB">
        <w:rPr>
          <w:rFonts w:ascii="Times New Roman" w:hAnsi="Times New Roman" w:cs="Times New Roman"/>
          <w:sz w:val="24"/>
          <w:szCs w:val="24"/>
        </w:rPr>
        <w:t>Sutrikusio intelekto žmonių globos bendrija „Kėdainių viltis“, kurios įnašas vi</w:t>
      </w:r>
      <w:r w:rsidR="00316DFD">
        <w:rPr>
          <w:rFonts w:ascii="Times New Roman" w:hAnsi="Times New Roman" w:cs="Times New Roman"/>
          <w:sz w:val="24"/>
          <w:szCs w:val="24"/>
        </w:rPr>
        <w:t>ešosios įstaigos kapitale – 0,29</w:t>
      </w:r>
      <w:r w:rsidRPr="00FD1EBB">
        <w:rPr>
          <w:rFonts w:ascii="Times New Roman" w:hAnsi="Times New Roman" w:cs="Times New Roman"/>
          <w:sz w:val="24"/>
          <w:szCs w:val="24"/>
        </w:rPr>
        <w:t xml:space="preserve"> euro, </w:t>
      </w:r>
    </w:p>
    <w:p w:rsidR="0093247B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EBB">
        <w:rPr>
          <w:rFonts w:ascii="Times New Roman" w:hAnsi="Times New Roman" w:cs="Times New Roman"/>
          <w:sz w:val="24"/>
          <w:szCs w:val="24"/>
        </w:rPr>
        <w:t>Lietuvos sutrikusio intelekto žmonių globos bendrija „Viltis“, kurios įnašas vi</w:t>
      </w:r>
      <w:r w:rsidR="00316DFD">
        <w:rPr>
          <w:rFonts w:ascii="Times New Roman" w:hAnsi="Times New Roman" w:cs="Times New Roman"/>
          <w:sz w:val="24"/>
          <w:szCs w:val="24"/>
        </w:rPr>
        <w:t>ešosios įstaigos kapitale – 0,29</w:t>
      </w:r>
      <w:r w:rsidRPr="00FD1EBB">
        <w:rPr>
          <w:rFonts w:ascii="Times New Roman" w:hAnsi="Times New Roman" w:cs="Times New Roman"/>
          <w:sz w:val="24"/>
          <w:szCs w:val="24"/>
        </w:rPr>
        <w:t xml:space="preserve"> euro.</w:t>
      </w:r>
    </w:p>
    <w:p w:rsidR="001D4BEF" w:rsidRPr="00FD1EBB" w:rsidRDefault="001D4BEF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Įstaiga įgyja civilines teises, prisiima civilines pareigas ir jas įgyvendina per savo valdymo organus. Valdymo organai yra:</w:t>
      </w:r>
    </w:p>
    <w:p w:rsidR="001D4BEF" w:rsidRDefault="001D4BEF" w:rsidP="00621EF2">
      <w:pPr>
        <w:pStyle w:val="prastasistinklapis1"/>
        <w:tabs>
          <w:tab w:val="left" w:pos="1440"/>
        </w:tabs>
        <w:spacing w:after="0" w:line="360" w:lineRule="auto"/>
        <w:jc w:val="both"/>
      </w:pPr>
      <w:r w:rsidRPr="00FD1EBB">
        <w:t xml:space="preserve">Įstaigos </w:t>
      </w:r>
      <w:r>
        <w:t>v</w:t>
      </w:r>
      <w:r w:rsidR="0093247B" w:rsidRPr="00FD1EBB">
        <w:t xml:space="preserve">isuotinis dalininkų susirinkimas – aukščiausias </w:t>
      </w:r>
      <w:r>
        <w:t>valdymo organas;</w:t>
      </w:r>
    </w:p>
    <w:p w:rsidR="0093247B" w:rsidRDefault="001D4BEF" w:rsidP="00621EF2">
      <w:pPr>
        <w:pStyle w:val="prastasistinklapis1"/>
        <w:tabs>
          <w:tab w:val="left" w:pos="1440"/>
        </w:tabs>
        <w:spacing w:after="0" w:line="360" w:lineRule="auto"/>
        <w:jc w:val="both"/>
      </w:pPr>
      <w:r>
        <w:t>Įstaigos</w:t>
      </w:r>
      <w:r w:rsidR="0093247B" w:rsidRPr="00FD1EBB">
        <w:t xml:space="preserve"> </w:t>
      </w:r>
      <w:r>
        <w:t>direktorius – vienasmenis Įstaigos valdymo organas.</w:t>
      </w:r>
    </w:p>
    <w:p w:rsidR="001D4BEF" w:rsidRDefault="001D4BEF" w:rsidP="00621EF2">
      <w:pPr>
        <w:pStyle w:val="prastasistinklapis1"/>
        <w:tabs>
          <w:tab w:val="left" w:pos="1440"/>
        </w:tabs>
        <w:spacing w:after="0" w:line="360" w:lineRule="auto"/>
        <w:jc w:val="both"/>
      </w:pPr>
      <w:r>
        <w:lastRenderedPageBreak/>
        <w:t>Vadovaudamasi Viešųjų įstaigų įstatymu, Įstaiga kasmet per keturis mėnesius nuo f</w:t>
      </w:r>
      <w:r w:rsidR="00F304B3">
        <w:t>inansinių metų pabaigos sušaukia</w:t>
      </w:r>
      <w:r>
        <w:t xml:space="preserve"> eilinį visuotinį dalininkų susirinkimą, kuriame vadovas dalininkams pateikia tvirtinti Įstaigos metinį finansinių ataskaitų rinkinį, praėjusių finansinių metų veiklos ataskaitą.</w:t>
      </w:r>
    </w:p>
    <w:p w:rsidR="00225C44" w:rsidRPr="00FD1EBB" w:rsidRDefault="00225C44" w:rsidP="00621EF2">
      <w:pPr>
        <w:pStyle w:val="prastasistinklapis1"/>
        <w:tabs>
          <w:tab w:val="left" w:pos="1440"/>
        </w:tabs>
        <w:spacing w:after="0" w:line="360" w:lineRule="auto"/>
        <w:jc w:val="both"/>
      </w:pPr>
    </w:p>
    <w:p w:rsidR="0093247B" w:rsidRDefault="0093247B" w:rsidP="00621EF2">
      <w:pPr>
        <w:tabs>
          <w:tab w:val="left" w:pos="8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EBB">
        <w:rPr>
          <w:rFonts w:ascii="Times New Roman" w:hAnsi="Times New Roman" w:cs="Times New Roman"/>
          <w:b/>
          <w:bCs/>
          <w:sz w:val="24"/>
          <w:szCs w:val="24"/>
        </w:rPr>
        <w:t>III. ĮSTAIGOS VEIKLOS TIKSLAI, POBŪDIS, VEIKLOS REZULTATAI</w:t>
      </w:r>
    </w:p>
    <w:p w:rsidR="00182A57" w:rsidRPr="00FD1EBB" w:rsidRDefault="00621EF2" w:rsidP="00621EF2">
      <w:p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A57" w:rsidRPr="00FD1EBB">
        <w:rPr>
          <w:rFonts w:ascii="Times New Roman" w:hAnsi="Times New Roman" w:cs="Times New Roman"/>
          <w:bCs/>
          <w:sz w:val="24"/>
          <w:szCs w:val="24"/>
        </w:rPr>
        <w:t>Įstaigos veiklos</w:t>
      </w:r>
      <w:r w:rsidR="00182A57" w:rsidRPr="00FD1EBB">
        <w:rPr>
          <w:rFonts w:ascii="Times New Roman" w:hAnsi="Times New Roman" w:cs="Times New Roman"/>
          <w:b/>
          <w:bCs/>
          <w:sz w:val="24"/>
          <w:szCs w:val="24"/>
        </w:rPr>
        <w:t xml:space="preserve"> kryptys – </w:t>
      </w:r>
      <w:r w:rsidR="00182A57" w:rsidRPr="00FD1EBB">
        <w:rPr>
          <w:rFonts w:ascii="Times New Roman" w:hAnsi="Times New Roman" w:cs="Times New Roman"/>
          <w:bCs/>
          <w:sz w:val="24"/>
          <w:szCs w:val="24"/>
        </w:rPr>
        <w:t xml:space="preserve">žmonių su proto negalia apgyvendinimas, savarankiškumo įgūdžių formavimas ir jų įtvirtinimas, užimtumo organizavimas. </w:t>
      </w:r>
    </w:p>
    <w:p w:rsidR="00182A57" w:rsidRDefault="00505D20" w:rsidP="00621EF2">
      <w:pPr>
        <w:tabs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2A57" w:rsidRPr="00FD1EBB">
        <w:rPr>
          <w:rFonts w:ascii="Times New Roman" w:hAnsi="Times New Roman" w:cs="Times New Roman"/>
          <w:b/>
          <w:bCs/>
          <w:sz w:val="24"/>
          <w:szCs w:val="24"/>
        </w:rPr>
        <w:t xml:space="preserve">Tikslas – </w:t>
      </w:r>
      <w:r w:rsidR="00182A57" w:rsidRPr="00FD1EBB">
        <w:rPr>
          <w:rFonts w:ascii="Times New Roman" w:hAnsi="Times New Roman" w:cs="Times New Roman"/>
          <w:bCs/>
          <w:sz w:val="24"/>
          <w:szCs w:val="24"/>
        </w:rPr>
        <w:t>teikti neįgaliesiems nuolatinio pobūdžio paslaugas, kurios atkurtų ar palaikytų neįgaliųjų socialinius ir savarankiško gyvenimo įgūdžius, didintų savarankiškumą ir užimtumą bei galimybes dalyvauti visuomenės gyvenime.</w:t>
      </w:r>
    </w:p>
    <w:p w:rsidR="00973B85" w:rsidRDefault="00973B85" w:rsidP="00973B85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B85">
        <w:rPr>
          <w:rFonts w:ascii="Times New Roman" w:hAnsi="Times New Roman" w:cs="Times New Roman"/>
          <w:sz w:val="24"/>
          <w:szCs w:val="24"/>
        </w:rPr>
        <w:t xml:space="preserve">    Įgyvendinant 2017 metų programą buvo užtikrinta nuolatinė įstaigos veikla: teikiamos apgyvendinimo, asmeninio asistento, kasdieninio gyvenimo įgūdžių ugdymo ir palaikymo, darbinių įgūdžių ugdymo,  laisvalaikio organizavimo, maitinimo, asmens higienos ir kitos paslaugos.</w:t>
      </w:r>
    </w:p>
    <w:p w:rsidR="005A2D92" w:rsidRDefault="00973B85" w:rsidP="00973B85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Neįgaliųjų su proto negalia savarankiškumas yra apribotas, jiems reikalinga nuolatinė priežiūrą ir socialinio darbuotojo padėjėjų pagalba, </w:t>
      </w:r>
      <w:r w:rsidR="005A2D92">
        <w:rPr>
          <w:rFonts w:ascii="Times New Roman" w:hAnsi="Times New Roman" w:cs="Times New Roman"/>
          <w:bCs/>
          <w:sz w:val="24"/>
          <w:szCs w:val="24"/>
        </w:rPr>
        <w:t xml:space="preserve">todėl gyventojams buvo užtikrinamas gydančių gydytojų paskirto gydymo kurso tęstinumas, mityba, aprūpinimas higienos priemonėmis. Gyventojai </w:t>
      </w:r>
      <w:r w:rsidR="00EB354B">
        <w:rPr>
          <w:rFonts w:ascii="Times New Roman" w:hAnsi="Times New Roman" w:cs="Times New Roman"/>
          <w:bCs/>
          <w:sz w:val="24"/>
          <w:szCs w:val="24"/>
        </w:rPr>
        <w:t>buvo mokomi pasirūpinti savimi, buitimi ir gyvenimo sąlygomis.</w:t>
      </w:r>
    </w:p>
    <w:p w:rsidR="00973B85" w:rsidRPr="00EB354B" w:rsidRDefault="005A2D92" w:rsidP="00973B85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73B85">
        <w:rPr>
          <w:rFonts w:ascii="Times New Roman" w:hAnsi="Times New Roman" w:cs="Times New Roman"/>
          <w:sz w:val="24"/>
          <w:szCs w:val="24"/>
        </w:rPr>
        <w:t>Visiems Įstaigos</w:t>
      </w:r>
      <w:r w:rsidR="00973B85" w:rsidRPr="00973B85">
        <w:rPr>
          <w:rFonts w:ascii="Times New Roman" w:hAnsi="Times New Roman" w:cs="Times New Roman"/>
          <w:sz w:val="24"/>
          <w:szCs w:val="24"/>
        </w:rPr>
        <w:t xml:space="preserve"> gyventojams paslaugos teikiamos ištisus metus.</w:t>
      </w:r>
    </w:p>
    <w:p w:rsidR="001510F4" w:rsidRPr="00524342" w:rsidRDefault="001510F4" w:rsidP="00973B85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342">
        <w:rPr>
          <w:rFonts w:ascii="Times New Roman" w:hAnsi="Times New Roman" w:cs="Times New Roman"/>
          <w:sz w:val="24"/>
          <w:szCs w:val="24"/>
        </w:rPr>
        <w:t>Per 2017 metus Įstaigos gyventojams buvo suteiktos 128 asmeninio asistento paslaugos iš jų : 114 kartų lankytasi Kėdainių pirminės sveikatos priežiūros centre: bendrosios praktikos gydytojų, chirurgų, okulistų, traumatologų, odontologų, endokrinologų, psichikos sveikatos centro gydytojų konsultacijose. 2 kartus lankytasi Kau</w:t>
      </w:r>
      <w:r w:rsidR="003B43AC">
        <w:rPr>
          <w:rFonts w:ascii="Times New Roman" w:hAnsi="Times New Roman" w:cs="Times New Roman"/>
          <w:sz w:val="24"/>
          <w:szCs w:val="24"/>
        </w:rPr>
        <w:t>no ortopedijos centre, 1 kartą neįgalumo ir d</w:t>
      </w:r>
      <w:r w:rsidRPr="00524342">
        <w:rPr>
          <w:rFonts w:ascii="Times New Roman" w:hAnsi="Times New Roman" w:cs="Times New Roman"/>
          <w:sz w:val="24"/>
          <w:szCs w:val="24"/>
        </w:rPr>
        <w:t>arbingumo nustatymo tarnybos Kauno 6 teritoriniame skyriuje, Kėdainių miesto seniūnijoje, Kėdainių rajono savivaldybės socialinės paramos skyriuje,</w:t>
      </w:r>
      <w:r w:rsidR="003C5CB6" w:rsidRPr="00524342">
        <w:rPr>
          <w:rFonts w:ascii="Times New Roman" w:hAnsi="Times New Roman" w:cs="Times New Roman"/>
          <w:sz w:val="24"/>
          <w:szCs w:val="24"/>
        </w:rPr>
        <w:t xml:space="preserve"> po</w:t>
      </w:r>
      <w:r w:rsidR="00E02DBB">
        <w:rPr>
          <w:rFonts w:ascii="Times New Roman" w:hAnsi="Times New Roman" w:cs="Times New Roman"/>
          <w:sz w:val="24"/>
          <w:szCs w:val="24"/>
        </w:rPr>
        <w:t xml:space="preserve"> 4 kartus lankytasi AB SEB i</w:t>
      </w:r>
      <w:r w:rsidRPr="00524342">
        <w:rPr>
          <w:rFonts w:ascii="Times New Roman" w:hAnsi="Times New Roman" w:cs="Times New Roman"/>
          <w:sz w:val="24"/>
          <w:szCs w:val="24"/>
        </w:rPr>
        <w:t xml:space="preserve">r </w:t>
      </w:r>
      <w:r w:rsidR="003C5CB6" w:rsidRPr="00524342">
        <w:rPr>
          <w:rFonts w:ascii="Times New Roman" w:hAnsi="Times New Roman" w:cs="Times New Roman"/>
          <w:sz w:val="24"/>
          <w:szCs w:val="24"/>
        </w:rPr>
        <w:t>Swedbank bankuose, padedant susitvarkyti banko operacijas, Kauno PK Kėdainių migracijos tarnyboje.</w:t>
      </w:r>
    </w:p>
    <w:p w:rsidR="00E72C11" w:rsidRPr="00524342" w:rsidRDefault="00621EF2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4342" w:rsidRPr="00524342">
        <w:rPr>
          <w:rFonts w:ascii="Times New Roman" w:hAnsi="Times New Roman" w:cs="Times New Roman"/>
          <w:sz w:val="24"/>
          <w:szCs w:val="24"/>
        </w:rPr>
        <w:t>Metų eigoje įvyko 12 gyventojų susirinkimų, kurių metu buvo sprendžiamos iškilusios problemos, kiekvieną dieną vyko individualūs pokalbiai, individualus darbas su gyventojais.</w:t>
      </w:r>
    </w:p>
    <w:p w:rsidR="00C2112F" w:rsidRDefault="00621EF2" w:rsidP="00621E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 </w:t>
      </w:r>
      <w:r w:rsidR="00B752DA" w:rsidRPr="00621EF2">
        <w:rPr>
          <w:rFonts w:ascii="Times New Roman" w:hAnsi="Times New Roman" w:cs="Times New Roman"/>
        </w:rPr>
        <w:t>Visus metus</w:t>
      </w:r>
      <w:r w:rsidR="00B752DA" w:rsidRPr="00B752DA">
        <w:rPr>
          <w:rFonts w:ascii="Times New Roman" w:hAnsi="Times New Roman" w:cs="Times New Roman"/>
        </w:rPr>
        <w:t xml:space="preserve"> Įstaigos gyventojai aktyviai dalyvavo įvairiuose veiklose</w:t>
      </w:r>
      <w:r w:rsidR="00CD642C">
        <w:rPr>
          <w:rFonts w:ascii="Times New Roman" w:hAnsi="Times New Roman" w:cs="Times New Roman"/>
        </w:rPr>
        <w:t xml:space="preserve"> ir renginiuose</w:t>
      </w:r>
      <w:r w:rsidR="00C2112F">
        <w:rPr>
          <w:rFonts w:ascii="Times New Roman" w:hAnsi="Times New Roman" w:cs="Times New Roman"/>
        </w:rPr>
        <w:t xml:space="preserve">, kurių metu buvo stiprinami neįgaliųjų prisitaikymo prie aplinkos gebėjimai, plečiamas pasaulio pažinimas, gerinama emocinė ir psichologinė savijauta.  </w:t>
      </w:r>
    </w:p>
    <w:p w:rsidR="00C2112F" w:rsidRDefault="00C2112F" w:rsidP="00621E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Dalyvavome:</w:t>
      </w:r>
      <w:r w:rsidR="00B752DA" w:rsidRPr="00B752DA">
        <w:rPr>
          <w:rFonts w:ascii="Times New Roman" w:hAnsi="Times New Roman" w:cs="Times New Roman"/>
        </w:rPr>
        <w:t xml:space="preserve"> </w:t>
      </w:r>
      <w:proofErr w:type="spellStart"/>
      <w:r w:rsidR="00B752DA" w:rsidRPr="00B752DA">
        <w:rPr>
          <w:rFonts w:ascii="Times New Roman" w:hAnsi="Times New Roman" w:cs="Times New Roman"/>
        </w:rPr>
        <w:t>taktilinės</w:t>
      </w:r>
      <w:proofErr w:type="spellEnd"/>
      <w:r w:rsidR="00B752DA" w:rsidRPr="00B752DA">
        <w:rPr>
          <w:rFonts w:ascii="Times New Roman" w:hAnsi="Times New Roman" w:cs="Times New Roman"/>
        </w:rPr>
        <w:t xml:space="preserve"> knygos akliesiems ir silpnaregiams kūrime</w:t>
      </w:r>
      <w:r w:rsidR="00CD642C">
        <w:rPr>
          <w:rFonts w:ascii="Times New Roman" w:hAnsi="Times New Roman" w:cs="Times New Roman"/>
        </w:rPr>
        <w:t xml:space="preserve"> ir pristatyme </w:t>
      </w:r>
      <w:r w:rsidR="00B752DA" w:rsidRPr="00B752DA">
        <w:rPr>
          <w:rFonts w:ascii="Times New Roman" w:hAnsi="Times New Roman" w:cs="Times New Roman"/>
        </w:rPr>
        <w:t xml:space="preserve">, Ingos </w:t>
      </w:r>
      <w:proofErr w:type="spellStart"/>
      <w:r w:rsidR="00B752DA" w:rsidRPr="00B752DA">
        <w:rPr>
          <w:rFonts w:ascii="Times New Roman" w:hAnsi="Times New Roman" w:cs="Times New Roman"/>
        </w:rPr>
        <w:t>Valinskienės</w:t>
      </w:r>
      <w:proofErr w:type="spellEnd"/>
      <w:r w:rsidR="00B752DA" w:rsidRPr="00B752DA">
        <w:rPr>
          <w:rFonts w:ascii="Times New Roman" w:hAnsi="Times New Roman" w:cs="Times New Roman"/>
        </w:rPr>
        <w:t xml:space="preserve"> koncerte Kėdainių arenoje, su rankdarbiais: Velykinėje parodoje- mugėje Kėdainių bendruomenės socialiniame centre, neįgaliųjų darbų parodoje – mugėje „Tau Vilniau“</w:t>
      </w:r>
      <w:r w:rsidR="00CD642C">
        <w:rPr>
          <w:rFonts w:ascii="Times New Roman" w:hAnsi="Times New Roman" w:cs="Times New Roman"/>
        </w:rPr>
        <w:t>,</w:t>
      </w:r>
      <w:r w:rsidR="00B752DA" w:rsidRPr="00B752DA">
        <w:rPr>
          <w:rFonts w:ascii="Times New Roman" w:hAnsi="Times New Roman" w:cs="Times New Roman"/>
        </w:rPr>
        <w:t xml:space="preserve"> </w:t>
      </w:r>
      <w:r w:rsidR="00CD642C">
        <w:rPr>
          <w:rFonts w:ascii="Times New Roman" w:hAnsi="Times New Roman" w:cs="Times New Roman"/>
        </w:rPr>
        <w:t xml:space="preserve">respublikinėje žmonių su negalia dailiųjų amatų darbų parodoje ir baigiamojoje šventėje „Rudens saulutė“. </w:t>
      </w:r>
    </w:p>
    <w:p w:rsidR="00C2112F" w:rsidRDefault="00CD642C" w:rsidP="00621E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Įstaigoje lankėsi Kėdainių specialiosios mokyklos muzikinis kolektyvas ir mokytojai, vyko popietė.</w:t>
      </w:r>
    </w:p>
    <w:p w:rsidR="00C2112F" w:rsidRDefault="003B43AC" w:rsidP="00621E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Vyko pavėsinės atidarymas, dalyvavo Kėdainių moterų LIONS klubo narės.</w:t>
      </w:r>
      <w:r w:rsidR="00CD642C">
        <w:rPr>
          <w:rFonts w:ascii="Times New Roman" w:hAnsi="Times New Roman" w:cs="Times New Roman"/>
        </w:rPr>
        <w:t xml:space="preserve"> </w:t>
      </w:r>
    </w:p>
    <w:p w:rsidR="00B752DA" w:rsidRDefault="00CD642C" w:rsidP="00621E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Dalyvavome Kėdainių rajono paraplegikų asociacijos projekto „Mūsų stiprybė bendruomenių vienybė“ veiklų cikle: „Parodyk ką moki Kėdainių miestui“, baigiamajame renginyje „Pabūkime kartu“, šiam renginiui Įstaigos gyventojai su darbuotojų pagalba virė kareivišką košę. </w:t>
      </w:r>
    </w:p>
    <w:p w:rsidR="003B43AC" w:rsidRDefault="003B43AC" w:rsidP="00621E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Įstaigos </w:t>
      </w:r>
      <w:r w:rsidR="00621EF2">
        <w:rPr>
          <w:rFonts w:ascii="Times New Roman" w:hAnsi="Times New Roman" w:cs="Times New Roman"/>
        </w:rPr>
        <w:t xml:space="preserve">gyventojai dalyvavo ir sporto varžybose: rugsėjo mėn. Lietuvos neįgaliųjų sporto žaidynėse Kauno sporto halėje, spalio mėn. Kėdainių rajono paraplegikų asociacijos rajoninėse žmonių su negalia varžybose, gruodžio mėn. Kėdainių neįgaliųjų reabilitacijos ir sporto klubo kalėdiniame </w:t>
      </w:r>
      <w:proofErr w:type="spellStart"/>
      <w:r w:rsidR="00621EF2">
        <w:rPr>
          <w:rFonts w:ascii="Times New Roman" w:hAnsi="Times New Roman" w:cs="Times New Roman"/>
        </w:rPr>
        <w:t>Bočios</w:t>
      </w:r>
      <w:proofErr w:type="spellEnd"/>
      <w:r w:rsidR="00621EF2">
        <w:rPr>
          <w:rFonts w:ascii="Times New Roman" w:hAnsi="Times New Roman" w:cs="Times New Roman"/>
        </w:rPr>
        <w:t xml:space="preserve"> turnyre.</w:t>
      </w:r>
    </w:p>
    <w:p w:rsidR="00505D20" w:rsidRDefault="00505D20" w:rsidP="00621EF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Įstaigoje minimos tradicinės metinės šventės: Šv. Velykos, Kūčios ir Šv. Kalėdos, Nauji metai. </w:t>
      </w:r>
    </w:p>
    <w:p w:rsidR="00621EF2" w:rsidRPr="00B752DA" w:rsidRDefault="00621EF2" w:rsidP="00621EF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247B" w:rsidRPr="00F01D94" w:rsidRDefault="0093247B" w:rsidP="00621EF2">
      <w:pPr>
        <w:tabs>
          <w:tab w:val="left" w:pos="8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D94">
        <w:rPr>
          <w:rFonts w:ascii="Times New Roman" w:hAnsi="Times New Roman" w:cs="Times New Roman"/>
          <w:b/>
          <w:bCs/>
          <w:sz w:val="24"/>
          <w:szCs w:val="24"/>
        </w:rPr>
        <w:t>IV. ŽMOGIŠKŲJŲ IŠTEKLIŲ VALDYMAS</w:t>
      </w:r>
    </w:p>
    <w:p w:rsidR="0093247B" w:rsidRPr="00F01D94" w:rsidRDefault="0093247B" w:rsidP="00621EF2">
      <w:pPr>
        <w:tabs>
          <w:tab w:val="left" w:pos="4200"/>
        </w:tabs>
        <w:spacing w:line="36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F01D94">
        <w:rPr>
          <w:rFonts w:ascii="Times New Roman" w:hAnsi="Times New Roman" w:cs="Times New Roman"/>
          <w:sz w:val="24"/>
          <w:szCs w:val="24"/>
        </w:rPr>
        <w:t>VšĮ „Gyvenimo namuose sut</w:t>
      </w:r>
      <w:r>
        <w:rPr>
          <w:rFonts w:ascii="Times New Roman" w:hAnsi="Times New Roman" w:cs="Times New Roman"/>
          <w:sz w:val="24"/>
          <w:szCs w:val="24"/>
        </w:rPr>
        <w:t>rikusio intelekto asmenims“ 2017</w:t>
      </w:r>
      <w:r w:rsidRPr="00F01D94">
        <w:rPr>
          <w:rFonts w:ascii="Times New Roman" w:hAnsi="Times New Roman" w:cs="Times New Roman"/>
          <w:sz w:val="24"/>
          <w:szCs w:val="24"/>
        </w:rPr>
        <w:t xml:space="preserve"> metais gyveno 20 neįgaliųjų, virš 18 metų, turinčių nuo 20 </w:t>
      </w:r>
      <w:r>
        <w:rPr>
          <w:rFonts w:ascii="Times New Roman" w:hAnsi="Times New Roman" w:cs="Times New Roman"/>
          <w:sz w:val="24"/>
          <w:szCs w:val="24"/>
        </w:rPr>
        <w:t>iki 50 proc. darbingumo lygio.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1230"/>
        <w:gridCol w:w="3540"/>
        <w:gridCol w:w="2475"/>
        <w:gridCol w:w="2368"/>
      </w:tblGrid>
      <w:tr w:rsidR="0093247B" w:rsidRPr="00F01D94" w:rsidTr="00B93D86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Metai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Neįgalus asmenys su proto negalia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Vyrai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Moteris</w:t>
            </w:r>
          </w:p>
        </w:tc>
      </w:tr>
      <w:tr w:rsidR="0093247B" w:rsidRPr="00F01D94" w:rsidTr="00B93D86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  <w:tab w:val="center" w:pos="107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93247B" w:rsidRPr="00F01D94" w:rsidTr="00B93D86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Iš jų našlaičiai: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47B" w:rsidRPr="00F01D94" w:rsidRDefault="0093247B" w:rsidP="00621EF2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9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93247B" w:rsidRDefault="0093247B" w:rsidP="00621EF2">
      <w:pPr>
        <w:pStyle w:val="Sraopastraipa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47B" w:rsidRDefault="0093247B" w:rsidP="00621EF2">
      <w:pPr>
        <w:spacing w:line="360" w:lineRule="auto"/>
      </w:pPr>
      <w:r w:rsidRPr="00F01D94">
        <w:rPr>
          <w:rFonts w:ascii="Times New Roman" w:hAnsi="Times New Roman" w:cs="Times New Roman"/>
          <w:sz w:val="24"/>
          <w:szCs w:val="24"/>
        </w:rPr>
        <w:t>VšĮ „Gyvenimo namuose sut</w:t>
      </w:r>
      <w:r>
        <w:rPr>
          <w:rFonts w:ascii="Times New Roman" w:hAnsi="Times New Roman" w:cs="Times New Roman"/>
          <w:sz w:val="24"/>
          <w:szCs w:val="24"/>
        </w:rPr>
        <w:t>rikusio intelekto asmenims“ patvirtinta 7,25 etato. Dirba 8 darbuotojai.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62"/>
        <w:gridCol w:w="3366"/>
        <w:gridCol w:w="2410"/>
        <w:gridCol w:w="2409"/>
      </w:tblGrid>
      <w:tr w:rsidR="0093247B" w:rsidTr="00B93D86">
        <w:tc>
          <w:tcPr>
            <w:tcW w:w="1562" w:type="dxa"/>
          </w:tcPr>
          <w:p w:rsidR="0093247B" w:rsidRPr="00BC7341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C7341">
              <w:rPr>
                <w:rFonts w:ascii="Times New Roman" w:hAnsi="Times New Roman" w:cs="Times New Roman"/>
              </w:rPr>
              <w:t>Iš viso patvirtintas etatų skaičius</w:t>
            </w:r>
          </w:p>
        </w:tc>
        <w:tc>
          <w:tcPr>
            <w:tcW w:w="3366" w:type="dxa"/>
          </w:tcPr>
          <w:p w:rsidR="0093247B" w:rsidRPr="006971C0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Administracija(direktorė ir buhalterė)</w:t>
            </w:r>
          </w:p>
        </w:tc>
        <w:tc>
          <w:tcPr>
            <w:tcW w:w="2410" w:type="dxa"/>
          </w:tcPr>
          <w:p w:rsidR="0093247B" w:rsidRPr="006971C0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Socialinio darbuotojo padėjėjai</w:t>
            </w:r>
          </w:p>
        </w:tc>
        <w:tc>
          <w:tcPr>
            <w:tcW w:w="2409" w:type="dxa"/>
          </w:tcPr>
          <w:p w:rsidR="0093247B" w:rsidRPr="006971C0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Virtuvės darbuotoja</w:t>
            </w:r>
          </w:p>
        </w:tc>
      </w:tr>
      <w:tr w:rsidR="0093247B" w:rsidTr="00B93D86">
        <w:tc>
          <w:tcPr>
            <w:tcW w:w="1562" w:type="dxa"/>
          </w:tcPr>
          <w:p w:rsidR="0093247B" w:rsidRPr="006971C0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3366" w:type="dxa"/>
          </w:tcPr>
          <w:p w:rsidR="0093247B" w:rsidRPr="006971C0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93247B" w:rsidRPr="006971C0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409" w:type="dxa"/>
          </w:tcPr>
          <w:p w:rsidR="0093247B" w:rsidRPr="006971C0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1C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</w:tbl>
    <w:p w:rsidR="0093247B" w:rsidRDefault="0093247B" w:rsidP="00621EF2">
      <w:pPr>
        <w:spacing w:line="360" w:lineRule="auto"/>
        <w:jc w:val="center"/>
      </w:pPr>
    </w:p>
    <w:p w:rsidR="00275245" w:rsidRDefault="00275245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2017 metais Įstaigos direktorė ir socialinio darbuotojo padėjėjos kėlė kvalifikaciją, dalyvaudami įvairiuose mokymuose bei seminaruose:</w:t>
      </w:r>
      <w:r w:rsidR="0093247B" w:rsidRPr="00697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47B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1C0">
        <w:rPr>
          <w:rFonts w:ascii="Times New Roman" w:hAnsi="Times New Roman" w:cs="Times New Roman"/>
          <w:sz w:val="24"/>
          <w:szCs w:val="24"/>
        </w:rPr>
        <w:t>Direktorė dalyvavo  tob</w:t>
      </w:r>
      <w:r w:rsidR="00275245">
        <w:rPr>
          <w:rFonts w:ascii="Times New Roman" w:hAnsi="Times New Roman" w:cs="Times New Roman"/>
          <w:sz w:val="24"/>
          <w:szCs w:val="24"/>
        </w:rPr>
        <w:t>ulinimo kursuose ir išklausė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1C0">
        <w:rPr>
          <w:rFonts w:ascii="Times New Roman" w:hAnsi="Times New Roman" w:cs="Times New Roman"/>
          <w:sz w:val="24"/>
          <w:szCs w:val="24"/>
        </w:rPr>
        <w:t>val.</w:t>
      </w:r>
      <w:r w:rsidR="00275245">
        <w:rPr>
          <w:rFonts w:ascii="Times New Roman" w:hAnsi="Times New Roman" w:cs="Times New Roman"/>
          <w:sz w:val="24"/>
          <w:szCs w:val="24"/>
        </w:rPr>
        <w:t xml:space="preserve"> mokymus.</w:t>
      </w:r>
    </w:p>
    <w:p w:rsidR="0093247B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Socialinio darbuotojo padėjėjos dalyvavo periodiniuose socialinių darbuotojų padėjėjų 16 valandų teoriniuose </w:t>
      </w:r>
      <w:r w:rsidR="00275245">
        <w:rPr>
          <w:rFonts w:ascii="Times New Roman" w:hAnsi="Times New Roman" w:cs="Times New Roman"/>
          <w:sz w:val="24"/>
          <w:szCs w:val="24"/>
        </w:rPr>
        <w:t>mokymuose ir 4 val. seminare.</w:t>
      </w:r>
    </w:p>
    <w:p w:rsidR="00505D20" w:rsidRDefault="00505D20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47B" w:rsidRPr="00410D98" w:rsidRDefault="0093247B" w:rsidP="00505D20">
      <w:pPr>
        <w:tabs>
          <w:tab w:val="left" w:pos="42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D98">
        <w:rPr>
          <w:rFonts w:ascii="Times New Roman" w:hAnsi="Times New Roman" w:cs="Times New Roman"/>
          <w:b/>
          <w:sz w:val="24"/>
          <w:szCs w:val="24"/>
        </w:rPr>
        <w:t>V. FINANSINIŲ IŠTEKLIŲ VALDYMAS</w:t>
      </w:r>
    </w:p>
    <w:p w:rsidR="0093247B" w:rsidRPr="00225C44" w:rsidRDefault="00C224C1" w:rsidP="00621EF2">
      <w:pPr>
        <w:tabs>
          <w:tab w:val="left" w:pos="346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C44">
        <w:rPr>
          <w:rFonts w:ascii="Times New Roman" w:hAnsi="Times New Roman" w:cs="Times New Roman"/>
          <w:sz w:val="24"/>
          <w:szCs w:val="24"/>
        </w:rPr>
        <w:t>Finansavimo šaltiniai 2017</w:t>
      </w:r>
      <w:r w:rsidR="0093247B" w:rsidRPr="00225C44">
        <w:rPr>
          <w:rFonts w:ascii="Times New Roman" w:hAnsi="Times New Roman" w:cs="Times New Roman"/>
          <w:sz w:val="24"/>
          <w:szCs w:val="24"/>
        </w:rPr>
        <w:t xml:space="preserve">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1"/>
        <w:gridCol w:w="2735"/>
        <w:gridCol w:w="1596"/>
        <w:gridCol w:w="1545"/>
        <w:gridCol w:w="1551"/>
        <w:gridCol w:w="1556"/>
      </w:tblGrid>
      <w:tr w:rsidR="0093247B" w:rsidRPr="00410D98" w:rsidTr="00B93D86">
        <w:trPr>
          <w:trHeight w:val="132"/>
        </w:trPr>
        <w:tc>
          <w:tcPr>
            <w:tcW w:w="871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2735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Lėšų šaltiniai</w:t>
            </w:r>
          </w:p>
        </w:tc>
        <w:tc>
          <w:tcPr>
            <w:tcW w:w="1596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Lėšų likutis metų pradžioje 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Gauta 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1" w:type="dxa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Išlaidos 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6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Lėšų likutis metų pabaigoje 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247B" w:rsidRPr="00410D98" w:rsidTr="00B93D86">
        <w:tc>
          <w:tcPr>
            <w:tcW w:w="871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5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Kėdainių rajono savivaldybė</w:t>
            </w:r>
          </w:p>
        </w:tc>
        <w:tc>
          <w:tcPr>
            <w:tcW w:w="159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1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47B" w:rsidRPr="00410D98" w:rsidTr="00B93D86">
        <w:tc>
          <w:tcPr>
            <w:tcW w:w="871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5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Gyventojų įnašai 80 proc.</w:t>
            </w:r>
          </w:p>
        </w:tc>
        <w:tc>
          <w:tcPr>
            <w:tcW w:w="159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45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51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5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3247B" w:rsidRPr="00410D98" w:rsidTr="00B93D86">
        <w:tc>
          <w:tcPr>
            <w:tcW w:w="871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5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2 proc. pajamų mokesčio parama</w:t>
            </w:r>
          </w:p>
        </w:tc>
        <w:tc>
          <w:tcPr>
            <w:tcW w:w="159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45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1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3247B" w:rsidRPr="00410D98" w:rsidTr="00B93D86">
        <w:tc>
          <w:tcPr>
            <w:tcW w:w="871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5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Panevėžio rajono savivaldybės lėšos</w:t>
            </w:r>
          </w:p>
        </w:tc>
        <w:tc>
          <w:tcPr>
            <w:tcW w:w="159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1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55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47B" w:rsidRPr="00410D98" w:rsidTr="00B93D86">
        <w:tc>
          <w:tcPr>
            <w:tcW w:w="871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10D98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59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1545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102,4</w:t>
            </w:r>
          </w:p>
        </w:tc>
        <w:tc>
          <w:tcPr>
            <w:tcW w:w="1551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1556" w:type="dxa"/>
          </w:tcPr>
          <w:p w:rsidR="0093247B" w:rsidRPr="00410D98" w:rsidRDefault="00737773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6,9</w:t>
            </w:r>
          </w:p>
        </w:tc>
      </w:tr>
    </w:tbl>
    <w:p w:rsidR="0093247B" w:rsidRPr="00410D98" w:rsidRDefault="0093247B" w:rsidP="00621E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247B" w:rsidRPr="00143C55" w:rsidRDefault="0093247B" w:rsidP="00621EF2">
      <w:pPr>
        <w:pStyle w:val="Sraopastraip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Informacija</w:t>
      </w:r>
      <w:r w:rsidR="00C224C1">
        <w:rPr>
          <w:rFonts w:ascii="Times New Roman" w:hAnsi="Times New Roman" w:cs="Times New Roman"/>
          <w:sz w:val="24"/>
          <w:szCs w:val="24"/>
        </w:rPr>
        <w:t xml:space="preserve"> apie įstaigos išlaidas per 2017</w:t>
      </w:r>
      <w:r w:rsidRPr="00143C55">
        <w:rPr>
          <w:rFonts w:ascii="Times New Roman" w:hAnsi="Times New Roman" w:cs="Times New Roman"/>
          <w:sz w:val="24"/>
          <w:szCs w:val="24"/>
        </w:rPr>
        <w:t xml:space="preserve"> metus</w:t>
      </w: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765"/>
        <w:gridCol w:w="3510"/>
        <w:gridCol w:w="1560"/>
        <w:gridCol w:w="1950"/>
        <w:gridCol w:w="1873"/>
      </w:tblGrid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Išlaidų pavadinimas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Patvirtintas planas su patikslinimas</w:t>
            </w:r>
          </w:p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Gauti asignavimai</w:t>
            </w:r>
          </w:p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Kasinės išlaidos</w:t>
            </w:r>
          </w:p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tūks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Darbo užmokestis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Socialinio draudimo įmokos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Mityba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Komunalinės išlaidos: iš jų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ryšių paslaugos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kitos prekės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Higienos priemonės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C69AF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69AF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69AF" w:rsidRPr="00410D98" w:rsidRDefault="00FC69AF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Medikamentai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69AF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69AF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69AF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247B" w:rsidRPr="0041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Spaudos prenumerata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247B" w:rsidRPr="0041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Kitos paslaugos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247B" w:rsidRPr="00410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D98">
              <w:rPr>
                <w:rFonts w:ascii="Times New Roman" w:hAnsi="Times New Roman" w:cs="Times New Roman"/>
                <w:sz w:val="24"/>
                <w:szCs w:val="24"/>
              </w:rPr>
              <w:t>Kitos išlaidos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410D98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3247B" w:rsidRPr="00410D98" w:rsidTr="00B93D86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410D98" w:rsidRDefault="0093247B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DC687C" w:rsidRDefault="0093247B" w:rsidP="00621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87C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143C55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247B" w:rsidRPr="00143C55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47B" w:rsidRPr="00143C55" w:rsidRDefault="00FC69AF" w:rsidP="00621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</w:tr>
    </w:tbl>
    <w:p w:rsidR="0093247B" w:rsidRPr="00410D98" w:rsidRDefault="0093247B" w:rsidP="00621EF2">
      <w:pPr>
        <w:tabs>
          <w:tab w:val="left" w:pos="8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47B" w:rsidRPr="00410D98" w:rsidRDefault="00C224C1" w:rsidP="00621EF2">
      <w:pPr>
        <w:tabs>
          <w:tab w:val="left" w:pos="4200"/>
        </w:tabs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2017</w:t>
      </w:r>
      <w:r w:rsidR="0093247B" w:rsidRPr="00410D98">
        <w:rPr>
          <w:rFonts w:ascii="Times New Roman" w:hAnsi="Times New Roman" w:cs="Times New Roman"/>
          <w:sz w:val="24"/>
          <w:szCs w:val="24"/>
        </w:rPr>
        <w:t xml:space="preserve"> metus Viešoji įstaiga „Gyvenimo namai sutrikusio intelekto asmenims“ neįsigijo ir nep</w:t>
      </w:r>
      <w:r w:rsidR="0093247B">
        <w:rPr>
          <w:rFonts w:ascii="Times New Roman" w:hAnsi="Times New Roman" w:cs="Times New Roman"/>
          <w:sz w:val="24"/>
          <w:szCs w:val="24"/>
        </w:rPr>
        <w:t>erleido jokio ilgalaikio turto.</w:t>
      </w:r>
    </w:p>
    <w:p w:rsidR="0093247B" w:rsidRPr="00410D98" w:rsidRDefault="0093247B" w:rsidP="00621EF2">
      <w:pPr>
        <w:tabs>
          <w:tab w:val="left" w:pos="84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D98">
        <w:rPr>
          <w:rFonts w:ascii="Times New Roman" w:hAnsi="Times New Roman" w:cs="Times New Roman"/>
          <w:b/>
          <w:bCs/>
          <w:sz w:val="24"/>
          <w:szCs w:val="24"/>
        </w:rPr>
        <w:t>VI. DUOMENYS APIE ĮSTAIGOS VADOVĄ</w:t>
      </w:r>
    </w:p>
    <w:p w:rsidR="0093247B" w:rsidRPr="00410D98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98">
        <w:rPr>
          <w:rFonts w:ascii="Times New Roman" w:hAnsi="Times New Roman" w:cs="Times New Roman"/>
          <w:sz w:val="24"/>
          <w:szCs w:val="24"/>
        </w:rPr>
        <w:t xml:space="preserve">         Įstaigos direktorė – Asta </w:t>
      </w:r>
      <w:proofErr w:type="spellStart"/>
      <w:r w:rsidRPr="00410D98">
        <w:rPr>
          <w:rFonts w:ascii="Times New Roman" w:hAnsi="Times New Roman" w:cs="Times New Roman"/>
          <w:sz w:val="24"/>
          <w:szCs w:val="24"/>
        </w:rPr>
        <w:t>Rekštienė</w:t>
      </w:r>
      <w:proofErr w:type="spellEnd"/>
      <w:r w:rsidRPr="00410D98">
        <w:rPr>
          <w:rFonts w:ascii="Times New Roman" w:hAnsi="Times New Roman" w:cs="Times New Roman"/>
          <w:sz w:val="24"/>
          <w:szCs w:val="24"/>
        </w:rPr>
        <w:t>, šioje įstaigoje dirba nuo 2010 metų vasario 18 d.  Išsilavinimas   –  aukštasis universitetinis (socialinio pedagogo kvalifikacija, edukologijos magistro laipsnis) Kauno kolegija, VDU.</w:t>
      </w:r>
    </w:p>
    <w:p w:rsidR="0093247B" w:rsidRPr="00410D98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D98">
        <w:rPr>
          <w:rFonts w:ascii="Times New Roman" w:hAnsi="Times New Roman" w:cs="Times New Roman"/>
          <w:bCs/>
          <w:sz w:val="24"/>
          <w:szCs w:val="24"/>
        </w:rPr>
        <w:t xml:space="preserve">Kontaktai : </w:t>
      </w:r>
      <w:proofErr w:type="spellStart"/>
      <w:r w:rsidRPr="00410D98">
        <w:rPr>
          <w:rFonts w:ascii="Times New Roman" w:hAnsi="Times New Roman" w:cs="Times New Roman"/>
          <w:bCs/>
          <w:sz w:val="24"/>
          <w:szCs w:val="24"/>
        </w:rPr>
        <w:t>el.p</w:t>
      </w:r>
      <w:proofErr w:type="spellEnd"/>
      <w:r w:rsidRPr="00410D98">
        <w:rPr>
          <w:rFonts w:ascii="Times New Roman" w:hAnsi="Times New Roman" w:cs="Times New Roman"/>
          <w:bCs/>
          <w:sz w:val="24"/>
          <w:szCs w:val="24"/>
        </w:rPr>
        <w:t xml:space="preserve">.  </w:t>
      </w:r>
      <w:hyperlink r:id="rId5" w:history="1">
        <w:r w:rsidRPr="00410D98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rekstiene.asta</w:t>
        </w:r>
        <w:r w:rsidRPr="00410D98">
          <w:rPr>
            <w:rStyle w:val="Hipersaitas"/>
            <w:rFonts w:ascii="Times New Roman" w:hAnsi="Times New Roman" w:cs="Times New Roman"/>
            <w:sz w:val="24"/>
            <w:szCs w:val="24"/>
          </w:rPr>
          <w:t>@gmail.com</w:t>
        </w:r>
      </w:hyperlink>
      <w:r w:rsidRPr="00410D98">
        <w:rPr>
          <w:rFonts w:ascii="Times New Roman" w:hAnsi="Times New Roman" w:cs="Times New Roman"/>
          <w:sz w:val="24"/>
          <w:szCs w:val="24"/>
        </w:rPr>
        <w:t>, tel. (8 347)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D98">
        <w:rPr>
          <w:rFonts w:ascii="Times New Roman" w:hAnsi="Times New Roman" w:cs="Times New Roman"/>
          <w:sz w:val="24"/>
          <w:szCs w:val="24"/>
        </w:rPr>
        <w:t>50615.</w:t>
      </w:r>
    </w:p>
    <w:p w:rsidR="0093247B" w:rsidRDefault="0093247B" w:rsidP="00621EF2">
      <w:pPr>
        <w:pStyle w:val="Sraopastraipa1"/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10D98">
        <w:rPr>
          <w:rFonts w:ascii="Times New Roman" w:hAnsi="Times New Roman" w:cs="Times New Roman"/>
          <w:sz w:val="24"/>
          <w:szCs w:val="24"/>
        </w:rPr>
        <w:t>Įstaigos direktoriaus darb</w:t>
      </w:r>
      <w:r w:rsidR="00737773">
        <w:rPr>
          <w:rFonts w:ascii="Times New Roman" w:hAnsi="Times New Roman" w:cs="Times New Roman"/>
          <w:sz w:val="24"/>
          <w:szCs w:val="24"/>
        </w:rPr>
        <w:t>o užmokesčiui panaudota 7494,29</w:t>
      </w:r>
      <w:r w:rsidRPr="0041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D9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37773">
        <w:rPr>
          <w:rFonts w:ascii="Times New Roman" w:hAnsi="Times New Roman" w:cs="Times New Roman"/>
          <w:sz w:val="24"/>
          <w:szCs w:val="24"/>
        </w:rPr>
        <w:t>, iš jų Sodros išlaidos 2336,00</w:t>
      </w:r>
      <w:r w:rsidRPr="0041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D9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10D98">
        <w:rPr>
          <w:rFonts w:ascii="Times New Roman" w:hAnsi="Times New Roman" w:cs="Times New Roman"/>
          <w:sz w:val="24"/>
          <w:szCs w:val="24"/>
        </w:rPr>
        <w:t xml:space="preserve">.  Kitų išlaidų nebuvo. </w:t>
      </w:r>
    </w:p>
    <w:p w:rsidR="00225C44" w:rsidRDefault="00225C44" w:rsidP="00621EF2">
      <w:pPr>
        <w:pStyle w:val="Sraopastraipa1"/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3247B" w:rsidRPr="00DC687C" w:rsidRDefault="0093247B" w:rsidP="00621EF2">
      <w:pPr>
        <w:tabs>
          <w:tab w:val="left" w:pos="2649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687C">
        <w:rPr>
          <w:rFonts w:ascii="Times New Roman" w:hAnsi="Times New Roman" w:cs="Times New Roman"/>
          <w:b/>
          <w:sz w:val="24"/>
          <w:szCs w:val="24"/>
        </w:rPr>
        <w:t>VII. ĮSTAIGOS DALYVAVIMAS PROJEKTUOSE IR PROGRAMOSE</w:t>
      </w:r>
    </w:p>
    <w:p w:rsidR="00A91675" w:rsidRDefault="0093247B" w:rsidP="00621EF2">
      <w:pPr>
        <w:spacing w:after="0" w:line="360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 w:rsidRPr="00DC687C">
        <w:rPr>
          <w:rFonts w:ascii="Times New Roman" w:hAnsi="Times New Roman" w:cs="Times New Roman"/>
          <w:sz w:val="24"/>
          <w:szCs w:val="24"/>
        </w:rPr>
        <w:t>Viešoji įstaiga „Gyvenimo namai sut</w:t>
      </w:r>
      <w:r w:rsidR="00020D9E">
        <w:rPr>
          <w:rFonts w:ascii="Times New Roman" w:hAnsi="Times New Roman" w:cs="Times New Roman"/>
          <w:sz w:val="24"/>
          <w:szCs w:val="24"/>
        </w:rPr>
        <w:t>rikusio intelekto asmenims“ 2017</w:t>
      </w:r>
      <w:r>
        <w:rPr>
          <w:rFonts w:ascii="Times New Roman" w:hAnsi="Times New Roman" w:cs="Times New Roman"/>
          <w:sz w:val="24"/>
          <w:szCs w:val="24"/>
        </w:rPr>
        <w:t xml:space="preserve"> metais vykdė </w:t>
      </w:r>
      <w:r w:rsidRPr="00DC687C">
        <w:rPr>
          <w:rFonts w:ascii="Times New Roman" w:hAnsi="Times New Roman" w:cs="Times New Roman"/>
          <w:sz w:val="24"/>
          <w:szCs w:val="24"/>
        </w:rPr>
        <w:t>„Socialinės reabilitacijos paslaugų neįgaliesiems bendruomenėje“</w:t>
      </w:r>
      <w:r>
        <w:rPr>
          <w:rFonts w:ascii="Times New Roman" w:hAnsi="Times New Roman" w:cs="Times New Roman"/>
          <w:sz w:val="24"/>
          <w:szCs w:val="24"/>
        </w:rPr>
        <w:t xml:space="preserve"> projektą, dalyvavo</w:t>
      </w:r>
      <w:r w:rsidRPr="00DC687C">
        <w:rPr>
          <w:rFonts w:ascii="Times New Roman" w:hAnsi="Times New Roman" w:cs="Times New Roman"/>
          <w:sz w:val="24"/>
          <w:szCs w:val="24"/>
        </w:rPr>
        <w:t>: sutrikusio intelekto žmonių globos bendrijos „Kėdainių viltis“</w:t>
      </w:r>
      <w:r>
        <w:rPr>
          <w:rFonts w:ascii="Times New Roman" w:hAnsi="Times New Roman" w:cs="Times New Roman"/>
          <w:sz w:val="24"/>
          <w:szCs w:val="24"/>
        </w:rPr>
        <w:t xml:space="preserve"> vykdytame </w:t>
      </w:r>
      <w:r w:rsidRPr="00DC6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neįgaliųjų socialinės integracijos per kūno kultūrą ir sportą projekte, Kėdainių rajono paraplegikų asociacijos </w:t>
      </w:r>
      <w:r w:rsidR="00A91675">
        <w:rPr>
          <w:rFonts w:ascii="Times New Roman" w:hAnsi="Times New Roman" w:cs="Times New Roman"/>
          <w:sz w:val="24"/>
          <w:szCs w:val="24"/>
        </w:rPr>
        <w:t>projekte „Mūsų stiprybė bendruomenių vienybėje“.</w:t>
      </w:r>
    </w:p>
    <w:p w:rsidR="005A2D92" w:rsidRDefault="0093247B" w:rsidP="005A2D92">
      <w:pPr>
        <w:spacing w:after="0" w:line="360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Įstaigoje nuolat palaikomi ir plečiami ryšiai su socialiniais partneriais, palaikomas glaudus bendradarbiavimas su Kėdainių rajono savivaldybe, Kėdainių rajono savivaldybės administracijos socialinės paramos skyriumi,</w:t>
      </w:r>
      <w:r w:rsidR="00A91675">
        <w:rPr>
          <w:rFonts w:ascii="Times New Roman" w:hAnsi="Times New Roman" w:cs="Times New Roman"/>
          <w:sz w:val="24"/>
          <w:szCs w:val="24"/>
        </w:rPr>
        <w:t xml:space="preserve"> Kėdainių Samariečių bendrija,</w:t>
      </w:r>
      <w:r>
        <w:rPr>
          <w:rFonts w:ascii="Times New Roman" w:hAnsi="Times New Roman" w:cs="Times New Roman"/>
          <w:sz w:val="24"/>
          <w:szCs w:val="24"/>
        </w:rPr>
        <w:t xml:space="preserve"> Kėdainių moterų LIONS klubu, </w:t>
      </w:r>
      <w:r w:rsidRPr="00DC687C">
        <w:rPr>
          <w:rFonts w:ascii="Times New Roman" w:hAnsi="Times New Roman" w:cs="Times New Roman"/>
          <w:sz w:val="24"/>
          <w:szCs w:val="24"/>
        </w:rPr>
        <w:t xml:space="preserve">Kėdainių specialiąją mokykla, </w:t>
      </w:r>
      <w:r>
        <w:rPr>
          <w:rFonts w:ascii="Times New Roman" w:hAnsi="Times New Roman" w:cs="Times New Roman"/>
          <w:sz w:val="24"/>
          <w:szCs w:val="24"/>
        </w:rPr>
        <w:t>Kėdain</w:t>
      </w:r>
      <w:r w:rsidR="00A91675">
        <w:rPr>
          <w:rFonts w:ascii="Times New Roman" w:hAnsi="Times New Roman" w:cs="Times New Roman"/>
          <w:sz w:val="24"/>
          <w:szCs w:val="24"/>
        </w:rPr>
        <w:t xml:space="preserve">ių </w:t>
      </w:r>
      <w:r w:rsidR="000B7923">
        <w:rPr>
          <w:rFonts w:ascii="Times New Roman" w:hAnsi="Times New Roman" w:cs="Times New Roman"/>
          <w:sz w:val="24"/>
          <w:szCs w:val="24"/>
        </w:rPr>
        <w:t>pagalbos šeimai centru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687C">
        <w:rPr>
          <w:rFonts w:ascii="Times New Roman" w:hAnsi="Times New Roman" w:cs="Times New Roman"/>
          <w:sz w:val="24"/>
          <w:szCs w:val="24"/>
        </w:rPr>
        <w:t xml:space="preserve"> </w:t>
      </w:r>
      <w:r w:rsidR="00AE08B6">
        <w:rPr>
          <w:rFonts w:ascii="Times New Roman" w:hAnsi="Times New Roman" w:cs="Times New Roman"/>
          <w:sz w:val="24"/>
          <w:szCs w:val="24"/>
        </w:rPr>
        <w:t>Kuršėnų VšĮ</w:t>
      </w:r>
      <w:r w:rsidR="000B7923">
        <w:rPr>
          <w:rFonts w:ascii="Times New Roman" w:hAnsi="Times New Roman" w:cs="Times New Roman"/>
          <w:sz w:val="24"/>
          <w:szCs w:val="24"/>
        </w:rPr>
        <w:t xml:space="preserve"> “Dienos centras sutrikusio intelekto asmenims“, </w:t>
      </w:r>
      <w:r w:rsidRPr="00DC687C">
        <w:rPr>
          <w:rFonts w:ascii="Times New Roman" w:hAnsi="Times New Roman" w:cs="Times New Roman"/>
          <w:sz w:val="24"/>
          <w:szCs w:val="24"/>
        </w:rPr>
        <w:t xml:space="preserve">Kėdainių bendruomenės centro socialinių paslaugų neįgaliesiems padalinių, Klaipėdos VšĮ „Gyvenimo namais“, labdaros ir paramos fondu „Maisto bankas“, „Viltis – Vikonda“, Kėdainių pirminės sveikatos priežiūros centru, Lietuvos sutrikusio intelekto žmonių globos bendrija „Viltis“, </w:t>
      </w:r>
      <w:r w:rsidR="00A91675" w:rsidRPr="00DC687C">
        <w:rPr>
          <w:rFonts w:ascii="Times New Roman" w:hAnsi="Times New Roman" w:cs="Times New Roman"/>
          <w:sz w:val="24"/>
          <w:szCs w:val="24"/>
        </w:rPr>
        <w:t>Raseinių neįgaliųjų dienos užimtumo centru,</w:t>
      </w:r>
      <w:r w:rsidR="00A91675">
        <w:rPr>
          <w:rFonts w:ascii="Times New Roman" w:hAnsi="Times New Roman" w:cs="Times New Roman"/>
          <w:sz w:val="24"/>
          <w:szCs w:val="24"/>
        </w:rPr>
        <w:t xml:space="preserve"> </w:t>
      </w:r>
      <w:r w:rsidRPr="00DC687C">
        <w:rPr>
          <w:rFonts w:ascii="Times New Roman" w:hAnsi="Times New Roman" w:cs="Times New Roman"/>
          <w:sz w:val="24"/>
          <w:szCs w:val="24"/>
        </w:rPr>
        <w:t>Kėdainių pirminių sveikatos priežiūros centru, Kėdainių psichikos sveikatos centru,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87C">
        <w:rPr>
          <w:rFonts w:ascii="Times New Roman" w:hAnsi="Times New Roman" w:cs="Times New Roman"/>
          <w:sz w:val="24"/>
          <w:szCs w:val="24"/>
        </w:rPr>
        <w:t>Kėdainių rajono nevyriausybinėmis organizaci</w:t>
      </w:r>
      <w:r>
        <w:rPr>
          <w:rFonts w:ascii="Times New Roman" w:hAnsi="Times New Roman" w:cs="Times New Roman"/>
          <w:sz w:val="24"/>
          <w:szCs w:val="24"/>
        </w:rPr>
        <w:t>jomis, Kėdainių kultūros centru, laikraščiais „Kėdainių mugė“, „Rinkos aikštė“.</w:t>
      </w:r>
    </w:p>
    <w:p w:rsidR="0093247B" w:rsidRPr="005A2D92" w:rsidRDefault="0093247B" w:rsidP="005A2D92">
      <w:pPr>
        <w:spacing w:after="0" w:line="360" w:lineRule="auto"/>
        <w:ind w:firstLine="692"/>
        <w:jc w:val="center"/>
        <w:rPr>
          <w:rFonts w:ascii="Times New Roman" w:hAnsi="Times New Roman" w:cs="Times New Roman"/>
          <w:sz w:val="24"/>
          <w:szCs w:val="24"/>
        </w:rPr>
      </w:pPr>
      <w:r w:rsidRPr="00DC687C">
        <w:rPr>
          <w:rFonts w:ascii="Times New Roman" w:hAnsi="Times New Roman" w:cs="Times New Roman"/>
          <w:b/>
          <w:sz w:val="24"/>
          <w:szCs w:val="24"/>
        </w:rPr>
        <w:t>VIII.</w:t>
      </w:r>
      <w:r w:rsidRPr="00DC687C">
        <w:rPr>
          <w:rFonts w:ascii="Times New Roman" w:hAnsi="Times New Roman" w:cs="Times New Roman"/>
          <w:sz w:val="24"/>
          <w:szCs w:val="24"/>
        </w:rPr>
        <w:t xml:space="preserve"> </w:t>
      </w:r>
      <w:r w:rsidRPr="00DC687C">
        <w:rPr>
          <w:rFonts w:ascii="Times New Roman" w:hAnsi="Times New Roman" w:cs="Times New Roman"/>
          <w:b/>
          <w:sz w:val="24"/>
          <w:szCs w:val="24"/>
        </w:rPr>
        <w:t>ĮSTAIGOS PROBLEMOS</w:t>
      </w:r>
    </w:p>
    <w:p w:rsidR="0093247B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</w:t>
      </w:r>
      <w:r w:rsidRPr="00DC687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Įstaiga neturi transporto, todėl kyla problemos pavežant neįgaliuosius į sveikatos priežiūros ir kitas viešąsias paslaugas teikiančias įstaigas.</w:t>
      </w:r>
    </w:p>
    <w:p w:rsidR="0093247B" w:rsidRDefault="0093247B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būdas</w:t>
      </w:r>
      <w:r w:rsidRPr="00DC687C">
        <w:rPr>
          <w:rFonts w:ascii="Times New Roman" w:hAnsi="Times New Roman" w:cs="Times New Roman"/>
          <w:sz w:val="24"/>
          <w:szCs w:val="24"/>
        </w:rPr>
        <w:t xml:space="preserve">:  </w:t>
      </w:r>
      <w:r w:rsidR="000B792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m. ieškoti lėšų ar rėmėjų sprendžiant šią problemą.</w:t>
      </w:r>
    </w:p>
    <w:p w:rsidR="00AE08B6" w:rsidRDefault="00AE08B6" w:rsidP="00621E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Problema: </w:t>
      </w:r>
      <w:r w:rsidR="00225C44">
        <w:rPr>
          <w:rFonts w:ascii="Times New Roman" w:hAnsi="Times New Roman" w:cs="Times New Roman"/>
          <w:sz w:val="24"/>
          <w:szCs w:val="24"/>
        </w:rPr>
        <w:t>Statinio techninę priežiūrą atliekanti įmonė surašė aktą, kuriame nurodė pastebėtus defektus (sutrūkinėjusi sienų apdaila, byra tinkas), reikalingas smulkus remontas.</w:t>
      </w:r>
    </w:p>
    <w:p w:rsidR="0093247B" w:rsidRPr="002D2782" w:rsidRDefault="00225C44" w:rsidP="002D2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Spendimo būdas: </w:t>
      </w:r>
      <w:r w:rsidR="00275245">
        <w:rPr>
          <w:rFonts w:ascii="Times New Roman" w:hAnsi="Times New Roman" w:cs="Times New Roman"/>
          <w:sz w:val="24"/>
          <w:szCs w:val="24"/>
        </w:rPr>
        <w:t>2018 m. ieškoti  lėšų remonto darbams atlikti.</w:t>
      </w:r>
      <w:bookmarkStart w:id="0" w:name="_GoBack"/>
      <w:bookmarkEnd w:id="0"/>
    </w:p>
    <w:p w:rsidR="0093247B" w:rsidRPr="00DC687C" w:rsidRDefault="002D2782" w:rsidP="002D2782">
      <w:pPr>
        <w:tabs>
          <w:tab w:val="left" w:pos="278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3247B" w:rsidRPr="00410D98" w:rsidRDefault="0093247B" w:rsidP="00621EF2">
      <w:pPr>
        <w:tabs>
          <w:tab w:val="left" w:pos="4200"/>
        </w:tabs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134CA" w:rsidRDefault="002D2782" w:rsidP="00621EF2">
      <w:pPr>
        <w:spacing w:line="360" w:lineRule="auto"/>
      </w:pPr>
    </w:p>
    <w:sectPr w:rsidR="002134CA" w:rsidSect="0058636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A6B9A"/>
    <w:multiLevelType w:val="multilevel"/>
    <w:tmpl w:val="5D7CB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5D2AF8"/>
    <w:multiLevelType w:val="multilevel"/>
    <w:tmpl w:val="3468C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1D72071"/>
    <w:multiLevelType w:val="hybridMultilevel"/>
    <w:tmpl w:val="9A505C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81EF8"/>
    <w:multiLevelType w:val="hybridMultilevel"/>
    <w:tmpl w:val="6978B41A"/>
    <w:lvl w:ilvl="0" w:tplc="D83E3ED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2"/>
  </w:compat>
  <w:rsids>
    <w:rsidRoot w:val="0093247B"/>
    <w:rsid w:val="00020D9E"/>
    <w:rsid w:val="000B7923"/>
    <w:rsid w:val="001510F4"/>
    <w:rsid w:val="00182A57"/>
    <w:rsid w:val="001B6C67"/>
    <w:rsid w:val="001D4BEF"/>
    <w:rsid w:val="00225C44"/>
    <w:rsid w:val="00275245"/>
    <w:rsid w:val="002D2782"/>
    <w:rsid w:val="00316DFD"/>
    <w:rsid w:val="00334C37"/>
    <w:rsid w:val="003B43AC"/>
    <w:rsid w:val="003B796D"/>
    <w:rsid w:val="003C5CB6"/>
    <w:rsid w:val="003C7EE0"/>
    <w:rsid w:val="00437CBD"/>
    <w:rsid w:val="00505D20"/>
    <w:rsid w:val="00524342"/>
    <w:rsid w:val="0058636D"/>
    <w:rsid w:val="005A2D92"/>
    <w:rsid w:val="005C3DF1"/>
    <w:rsid w:val="00621EF2"/>
    <w:rsid w:val="0065707D"/>
    <w:rsid w:val="0067593A"/>
    <w:rsid w:val="006F6A31"/>
    <w:rsid w:val="00736FF2"/>
    <w:rsid w:val="00737773"/>
    <w:rsid w:val="00836C04"/>
    <w:rsid w:val="0092534A"/>
    <w:rsid w:val="0093247B"/>
    <w:rsid w:val="00973B85"/>
    <w:rsid w:val="00995697"/>
    <w:rsid w:val="009E38FE"/>
    <w:rsid w:val="009E5B52"/>
    <w:rsid w:val="00A0341A"/>
    <w:rsid w:val="00A91675"/>
    <w:rsid w:val="00AC293C"/>
    <w:rsid w:val="00AE08B6"/>
    <w:rsid w:val="00B31455"/>
    <w:rsid w:val="00B478CF"/>
    <w:rsid w:val="00B752DA"/>
    <w:rsid w:val="00B90EC8"/>
    <w:rsid w:val="00B93ACE"/>
    <w:rsid w:val="00BE7072"/>
    <w:rsid w:val="00BF4F8E"/>
    <w:rsid w:val="00C2112F"/>
    <w:rsid w:val="00C224C1"/>
    <w:rsid w:val="00CD642C"/>
    <w:rsid w:val="00D601AC"/>
    <w:rsid w:val="00DD1179"/>
    <w:rsid w:val="00E02DBB"/>
    <w:rsid w:val="00E72C11"/>
    <w:rsid w:val="00E90CE7"/>
    <w:rsid w:val="00EA2F7D"/>
    <w:rsid w:val="00EB354B"/>
    <w:rsid w:val="00F14009"/>
    <w:rsid w:val="00F304B3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70262-743E-4233-972E-45C5050E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24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247B"/>
    <w:pPr>
      <w:ind w:left="720"/>
      <w:contextualSpacing/>
    </w:pPr>
  </w:style>
  <w:style w:type="paragraph" w:customStyle="1" w:styleId="prastasistinklapis1">
    <w:name w:val="Įprastasis (tinklapis)1"/>
    <w:basedOn w:val="prastasis"/>
    <w:rsid w:val="0093247B"/>
    <w:pPr>
      <w:suppressAutoHyphens/>
      <w:spacing w:before="28" w:after="10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Sraopastraipa1">
    <w:name w:val="Sąrašo pastraipa1"/>
    <w:basedOn w:val="prastasis"/>
    <w:rsid w:val="0093247B"/>
    <w:pPr>
      <w:suppressAutoHyphens/>
    </w:pPr>
    <w:rPr>
      <w:rFonts w:ascii="Calibri" w:eastAsia="Times New Roman" w:hAnsi="Calibri" w:cs="Calibri"/>
      <w:kern w:val="1"/>
      <w:lang w:eastAsia="ar-SA"/>
    </w:rPr>
  </w:style>
  <w:style w:type="table" w:styleId="Lentelstinklelis">
    <w:name w:val="Table Grid"/>
    <w:basedOn w:val="prastojilentel"/>
    <w:uiPriority w:val="59"/>
    <w:rsid w:val="0093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932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stiene.a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M58p</dc:creator>
  <cp:lastModifiedBy>Vartotoja</cp:lastModifiedBy>
  <cp:revision>34</cp:revision>
  <dcterms:created xsi:type="dcterms:W3CDTF">2018-01-31T13:08:00Z</dcterms:created>
  <dcterms:modified xsi:type="dcterms:W3CDTF">2018-04-03T08:17:00Z</dcterms:modified>
</cp:coreProperties>
</file>