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30" w:rsidRDefault="0061734A" w:rsidP="00F61230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lang w:bidi="lo-LA"/>
        </w:rPr>
      </w:pPr>
      <w:r>
        <w:rPr>
          <w:rFonts w:ascii="Times New Roman" w:eastAsia="Calibri" w:hAnsi="Times New Roman" w:cs="Times New Roman"/>
          <w:sz w:val="24"/>
          <w:lang w:bidi="lo-LA"/>
        </w:rPr>
        <w:tab/>
      </w:r>
      <w:r>
        <w:rPr>
          <w:rFonts w:ascii="Times New Roman" w:eastAsia="Calibri" w:hAnsi="Times New Roman" w:cs="Times New Roman"/>
          <w:sz w:val="24"/>
          <w:lang w:bidi="lo-LA"/>
        </w:rPr>
        <w:tab/>
      </w:r>
      <w:r>
        <w:rPr>
          <w:rFonts w:ascii="Times New Roman" w:eastAsia="Calibri" w:hAnsi="Times New Roman" w:cs="Times New Roman"/>
          <w:sz w:val="24"/>
          <w:lang w:bidi="lo-LA"/>
        </w:rPr>
        <w:tab/>
      </w:r>
      <w:r>
        <w:rPr>
          <w:rFonts w:ascii="Times New Roman" w:eastAsia="Calibri" w:hAnsi="Times New Roman" w:cs="Times New Roman"/>
          <w:sz w:val="24"/>
          <w:lang w:bidi="lo-LA"/>
        </w:rPr>
        <w:tab/>
      </w:r>
      <w:r>
        <w:rPr>
          <w:rFonts w:ascii="Times New Roman" w:eastAsia="Calibri" w:hAnsi="Times New Roman" w:cs="Times New Roman"/>
          <w:sz w:val="24"/>
          <w:lang w:bidi="lo-LA"/>
        </w:rPr>
        <w:tab/>
        <w:t xml:space="preserve">   </w:t>
      </w:r>
      <w:r w:rsidR="00F61230">
        <w:rPr>
          <w:rFonts w:ascii="Times New Roman" w:eastAsia="Calibri" w:hAnsi="Times New Roman" w:cs="Times New Roman"/>
          <w:sz w:val="24"/>
          <w:lang w:bidi="lo-LA"/>
        </w:rPr>
        <w:t xml:space="preserve"> PRITARTA</w:t>
      </w:r>
    </w:p>
    <w:p w:rsidR="00F61230" w:rsidRDefault="00F61230" w:rsidP="00F61230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bidi="lo-LA"/>
        </w:rPr>
      </w:pPr>
      <w:r>
        <w:rPr>
          <w:rFonts w:ascii="Times New Roman" w:eastAsia="Calibri" w:hAnsi="Times New Roman" w:cs="Times New Roman"/>
          <w:sz w:val="24"/>
          <w:lang w:bidi="lo-LA"/>
        </w:rPr>
        <w:t xml:space="preserve">                                                     </w:t>
      </w:r>
      <w:r w:rsidR="0061734A">
        <w:rPr>
          <w:rFonts w:ascii="Times New Roman" w:eastAsia="Calibri" w:hAnsi="Times New Roman" w:cs="Times New Roman"/>
          <w:sz w:val="24"/>
          <w:lang w:bidi="lo-LA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lang w:bidi="lo-LA"/>
        </w:rPr>
        <w:t xml:space="preserve">Kėdainių rajono savivaldybės tarybos </w:t>
      </w:r>
    </w:p>
    <w:p w:rsidR="00F61230" w:rsidRDefault="00F61230" w:rsidP="00F61230">
      <w:pPr>
        <w:spacing w:after="0"/>
        <w:ind w:left="3888" w:firstLine="1296"/>
        <w:jc w:val="center"/>
        <w:rPr>
          <w:rFonts w:ascii="Times New Roman" w:eastAsia="Calibri" w:hAnsi="Times New Roman" w:cs="Times New Roman"/>
          <w:sz w:val="24"/>
          <w:lang w:bidi="lo-LA"/>
        </w:rPr>
      </w:pPr>
      <w:r>
        <w:rPr>
          <w:rFonts w:ascii="Times New Roman" w:eastAsia="Calibri" w:hAnsi="Times New Roman" w:cs="Times New Roman"/>
          <w:sz w:val="24"/>
          <w:lang w:bidi="lo-LA"/>
        </w:rPr>
        <w:t>2017 m. kovo 31 d. sprendimu Nr. TS</w:t>
      </w:r>
      <w:r w:rsidR="009E5159">
        <w:rPr>
          <w:rFonts w:ascii="Times New Roman" w:eastAsia="Calibri" w:hAnsi="Times New Roman" w:cs="Times New Roman"/>
          <w:sz w:val="24"/>
          <w:lang w:bidi="lo-LA"/>
        </w:rPr>
        <w:t xml:space="preserve"> </w:t>
      </w:r>
      <w:r>
        <w:rPr>
          <w:rFonts w:ascii="Times New Roman" w:eastAsia="Calibri" w:hAnsi="Times New Roman" w:cs="Times New Roman"/>
          <w:sz w:val="24"/>
          <w:lang w:bidi="lo-LA"/>
        </w:rPr>
        <w:t>-</w:t>
      </w:r>
      <w:r w:rsidR="009E5159">
        <w:rPr>
          <w:rFonts w:ascii="Times New Roman" w:eastAsia="Calibri" w:hAnsi="Times New Roman" w:cs="Times New Roman"/>
          <w:sz w:val="24"/>
          <w:lang w:bidi="lo-LA"/>
        </w:rPr>
        <w:t xml:space="preserve"> 47</w:t>
      </w:r>
    </w:p>
    <w:p w:rsidR="0061581C" w:rsidRDefault="0061581C" w:rsidP="00F61230">
      <w:pPr>
        <w:spacing w:after="0"/>
        <w:ind w:left="3888"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A37" w:rsidRPr="00FC1A37" w:rsidRDefault="00FC1A37" w:rsidP="00FC1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A37">
        <w:rPr>
          <w:rFonts w:ascii="Times New Roman" w:hAnsi="Times New Roman" w:cs="Times New Roman"/>
          <w:b/>
          <w:sz w:val="24"/>
          <w:szCs w:val="24"/>
        </w:rPr>
        <w:t>VIEŠOSIOS ĮSTAIGOS „GYVENIMO NAMAI SUTRIKUSIO INTELEKTO ASMENIMS“</w:t>
      </w:r>
    </w:p>
    <w:p w:rsidR="00FC1A37" w:rsidRPr="00FC1A37" w:rsidRDefault="00FC1A37" w:rsidP="00FC1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A37" w:rsidRPr="00FD1EBB" w:rsidRDefault="00E32537" w:rsidP="00FD1EBB">
      <w:pPr>
        <w:pStyle w:val="Sraopastraipa"/>
        <w:numPr>
          <w:ilvl w:val="0"/>
          <w:numId w:val="2"/>
        </w:numPr>
        <w:tabs>
          <w:tab w:val="left" w:pos="20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MET</w:t>
      </w:r>
      <w:r w:rsidR="00FC1A37" w:rsidRPr="00FD1EBB">
        <w:rPr>
          <w:rFonts w:ascii="Times New Roman" w:hAnsi="Times New Roman" w:cs="Times New Roman"/>
          <w:b/>
          <w:sz w:val="24"/>
          <w:szCs w:val="24"/>
        </w:rPr>
        <w:t>Ų VADOVO ATASKAITA</w:t>
      </w:r>
    </w:p>
    <w:p w:rsidR="00FC1A37" w:rsidRDefault="00FC1A37" w:rsidP="00FC1A37">
      <w:pPr>
        <w:rPr>
          <w:rFonts w:ascii="Times New Roman" w:hAnsi="Times New Roman" w:cs="Times New Roman"/>
          <w:sz w:val="24"/>
          <w:szCs w:val="24"/>
        </w:rPr>
      </w:pPr>
    </w:p>
    <w:p w:rsidR="00FC1A37" w:rsidRDefault="00FD1EBB" w:rsidP="00FD1EBB">
      <w:pPr>
        <w:pStyle w:val="Sraopastraipa"/>
        <w:tabs>
          <w:tab w:val="left" w:pos="1575"/>
        </w:tabs>
        <w:ind w:left="22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FC1A37" w:rsidRPr="00FC1A37">
        <w:rPr>
          <w:rFonts w:ascii="Times New Roman" w:hAnsi="Times New Roman" w:cs="Times New Roman"/>
          <w:b/>
          <w:sz w:val="24"/>
          <w:szCs w:val="24"/>
        </w:rPr>
        <w:t>BENDRA INFORMACIJA</w:t>
      </w:r>
    </w:p>
    <w:p w:rsidR="00FC1A37" w:rsidRPr="00FC1A37" w:rsidRDefault="00FC1A37" w:rsidP="00FC1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FC1A37">
        <w:rPr>
          <w:rFonts w:ascii="Times New Roman" w:hAnsi="Times New Roman" w:cs="Times New Roman"/>
          <w:sz w:val="24"/>
          <w:szCs w:val="24"/>
        </w:rPr>
        <w:t xml:space="preserve">Viešoji įstaiga „Gyvenimo namai sutrikusio intelekto asmenims“ buvo įregistruota Valstybės įmonės Registrų centro Juridinių asmenų registre 2010 m. birželio 3 d. </w:t>
      </w:r>
    </w:p>
    <w:p w:rsidR="00FC1A37" w:rsidRPr="00FC1A37" w:rsidRDefault="006707E3" w:rsidP="006707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1A37" w:rsidRPr="00FC1A37">
        <w:rPr>
          <w:rFonts w:ascii="Times New Roman" w:hAnsi="Times New Roman" w:cs="Times New Roman"/>
          <w:sz w:val="24"/>
          <w:szCs w:val="24"/>
        </w:rPr>
        <w:t xml:space="preserve">Įstaigos kodas – 302518681. </w:t>
      </w:r>
    </w:p>
    <w:p w:rsidR="00FC1A37" w:rsidRPr="00FC1A37" w:rsidRDefault="006707E3" w:rsidP="006707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1A37" w:rsidRPr="00FC1A37">
        <w:rPr>
          <w:rFonts w:ascii="Times New Roman" w:hAnsi="Times New Roman" w:cs="Times New Roman"/>
          <w:sz w:val="24"/>
          <w:szCs w:val="24"/>
        </w:rPr>
        <w:t>Įstaigos adresas:  P. Lukšio g. 16, LT-57202 Kėdainiai.</w:t>
      </w:r>
    </w:p>
    <w:p w:rsidR="00FC1A37" w:rsidRDefault="006707E3" w:rsidP="006707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1A37" w:rsidRPr="00FC1A37">
        <w:rPr>
          <w:rFonts w:ascii="Times New Roman" w:hAnsi="Times New Roman" w:cs="Times New Roman"/>
          <w:sz w:val="24"/>
          <w:szCs w:val="24"/>
        </w:rPr>
        <w:t>Tel./faks. (8 347) 50 615</w:t>
      </w:r>
    </w:p>
    <w:p w:rsidR="00FD1EBB" w:rsidRPr="00FC1A37" w:rsidRDefault="006707E3" w:rsidP="006707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D1EBB">
        <w:rPr>
          <w:rFonts w:ascii="Times New Roman" w:hAnsi="Times New Roman" w:cs="Times New Roman"/>
          <w:sz w:val="24"/>
          <w:szCs w:val="24"/>
        </w:rPr>
        <w:t xml:space="preserve">Įstaigai nuo 2010 metų vasario 18 d. vadovauja direktorė Asta </w:t>
      </w:r>
      <w:proofErr w:type="spellStart"/>
      <w:r w:rsidR="00FD1EBB">
        <w:rPr>
          <w:rFonts w:ascii="Times New Roman" w:hAnsi="Times New Roman" w:cs="Times New Roman"/>
          <w:sz w:val="24"/>
          <w:szCs w:val="24"/>
        </w:rPr>
        <w:t>Rekštienė</w:t>
      </w:r>
      <w:proofErr w:type="spellEnd"/>
      <w:r w:rsidR="00FD1EBB">
        <w:rPr>
          <w:rFonts w:ascii="Times New Roman" w:hAnsi="Times New Roman" w:cs="Times New Roman"/>
          <w:sz w:val="24"/>
          <w:szCs w:val="24"/>
        </w:rPr>
        <w:t>.</w:t>
      </w:r>
    </w:p>
    <w:p w:rsidR="00FC1A37" w:rsidRPr="00FC1A37" w:rsidRDefault="006707E3" w:rsidP="006707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C1A37" w:rsidRPr="00FC1A37">
        <w:rPr>
          <w:rFonts w:ascii="Times New Roman" w:hAnsi="Times New Roman" w:cs="Times New Roman"/>
          <w:b/>
          <w:sz w:val="24"/>
          <w:szCs w:val="24"/>
        </w:rPr>
        <w:t xml:space="preserve">VIZIJA: </w:t>
      </w:r>
      <w:r w:rsidR="00FC1A37" w:rsidRPr="00FC1A37">
        <w:rPr>
          <w:rFonts w:ascii="Times New Roman" w:hAnsi="Times New Roman" w:cs="Times New Roman"/>
          <w:sz w:val="24"/>
          <w:szCs w:val="24"/>
        </w:rPr>
        <w:t>Visuomenės poreikius tenkinanti įstaiga asmenims su proto negalia. Namai, sugebantys sudaryti gyvenimo sąlygas, artimas šeimos aplinkai ir gebantis rūpintis asmenimis su proto negalia, tenkinantys jų buitinius, socialinius poreikius.</w:t>
      </w:r>
    </w:p>
    <w:p w:rsidR="00FC1A37" w:rsidRPr="00FC1A37" w:rsidRDefault="00FC1A37" w:rsidP="00FC1A37">
      <w:pPr>
        <w:spacing w:after="0" w:line="36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FC1A37">
        <w:rPr>
          <w:rFonts w:ascii="Times New Roman" w:hAnsi="Times New Roman" w:cs="Times New Roman"/>
          <w:b/>
          <w:sz w:val="24"/>
          <w:szCs w:val="24"/>
        </w:rPr>
        <w:t xml:space="preserve">MISIJA: </w:t>
      </w:r>
      <w:r w:rsidRPr="00FC1A37">
        <w:rPr>
          <w:rFonts w:ascii="Times New Roman" w:hAnsi="Times New Roman" w:cs="Times New Roman"/>
          <w:sz w:val="24"/>
          <w:szCs w:val="24"/>
        </w:rPr>
        <w:t xml:space="preserve">Įgyvendinti efektyvią socialinės pagalbos sistemą, užtikrinančią įstaigos gyventojų socialinį saugumą bei integraciją į visuomenę. </w:t>
      </w:r>
    </w:p>
    <w:p w:rsidR="00FD1EBB" w:rsidRDefault="00FD1EBB" w:rsidP="00FC1A37"/>
    <w:p w:rsidR="00FD1EBB" w:rsidRPr="00FD1EBB" w:rsidRDefault="00FD1EBB" w:rsidP="005163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Pr="00FD1EBB">
        <w:rPr>
          <w:rFonts w:ascii="Times New Roman" w:hAnsi="Times New Roman" w:cs="Times New Roman"/>
          <w:b/>
          <w:sz w:val="24"/>
          <w:szCs w:val="24"/>
        </w:rPr>
        <w:t>VIEŠOSIOS ĮSTAIGOS DALININKAI</w:t>
      </w:r>
    </w:p>
    <w:p w:rsidR="00FD1EBB" w:rsidRPr="00FD1EBB" w:rsidRDefault="00FD1EBB" w:rsidP="00FD1EBB">
      <w:pPr>
        <w:spacing w:after="0" w:line="360" w:lineRule="auto"/>
        <w:ind w:left="1575"/>
        <w:rPr>
          <w:rFonts w:ascii="Times New Roman" w:hAnsi="Times New Roman" w:cs="Times New Roman"/>
          <w:sz w:val="24"/>
          <w:szCs w:val="24"/>
        </w:rPr>
      </w:pPr>
    </w:p>
    <w:p w:rsidR="00FD1EBB" w:rsidRPr="00FD1EBB" w:rsidRDefault="00FD1EBB" w:rsidP="001B51B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 xml:space="preserve">Viešosios įstaigos steigėjai – Kėdainių rajono savivaldybė, Sutrikusio intelekto žmonių globos bendrija „Kėdainių viltis“, Lietuvos sutrikusio intelekto žmonių globos bendrija „Viltis“. Viešosios įstaigos dalininkai : </w:t>
      </w:r>
    </w:p>
    <w:p w:rsidR="00FD1EBB" w:rsidRPr="00FD1EBB" w:rsidRDefault="00FD1EBB" w:rsidP="00FD1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 xml:space="preserve">Kėdainių rajono savivaldybė, kurios dalininko įnašas viešosios įstaigos kapitale – 0,33 euro, </w:t>
      </w:r>
    </w:p>
    <w:p w:rsidR="00FD1EBB" w:rsidRPr="00FD1EBB" w:rsidRDefault="00FD1EBB" w:rsidP="00FD1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 xml:space="preserve">Sutrikusio intelekto žmonių globos bendrija „Kėdainių viltis“, kurios įnašas viešosios įstaigos kapitale – 0,33 euro, </w:t>
      </w:r>
    </w:p>
    <w:p w:rsidR="00FD1EBB" w:rsidRPr="00FD1EBB" w:rsidRDefault="00FD1EBB" w:rsidP="00FD1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>Lietuvos sutrikusio intelekto žmonių globos bendrija „Viltis“, kurios įnašas viešosios įstaigos kapitale – 0,33 euro.</w:t>
      </w:r>
    </w:p>
    <w:p w:rsidR="00FD1EBB" w:rsidRPr="00FD1EBB" w:rsidRDefault="00FD1EBB" w:rsidP="00FD1EBB">
      <w:pPr>
        <w:pStyle w:val="prastasistinklapis1"/>
        <w:tabs>
          <w:tab w:val="left" w:pos="1440"/>
        </w:tabs>
        <w:spacing w:after="0" w:line="360" w:lineRule="auto"/>
        <w:jc w:val="both"/>
      </w:pPr>
      <w:r w:rsidRPr="00FD1EBB">
        <w:t xml:space="preserve">Visuotinis dalininkų susirinkimas – aukščiausias Įstaigos valdymo organas. </w:t>
      </w:r>
    </w:p>
    <w:p w:rsidR="00FD1EBB" w:rsidRPr="00FD1EBB" w:rsidRDefault="00FD1EBB" w:rsidP="00FD1EBB">
      <w:pPr>
        <w:pStyle w:val="prastasistinklapis1"/>
        <w:tabs>
          <w:tab w:val="left" w:pos="1440"/>
        </w:tabs>
        <w:spacing w:after="0" w:line="360" w:lineRule="auto"/>
        <w:jc w:val="both"/>
      </w:pPr>
      <w:r w:rsidRPr="00FD1EBB">
        <w:t>Visuotinis dalininkų susirinkimas vykdo Įstatuose nurodytas funkcijas.</w:t>
      </w:r>
    </w:p>
    <w:p w:rsidR="00FD1EBB" w:rsidRDefault="00FD1EBB" w:rsidP="00FD1EBB">
      <w:pPr>
        <w:pStyle w:val="prastasistinklapis1"/>
        <w:tabs>
          <w:tab w:val="left" w:pos="1440"/>
        </w:tabs>
        <w:spacing w:after="0" w:line="360" w:lineRule="auto"/>
        <w:ind w:firstLine="735"/>
        <w:jc w:val="both"/>
      </w:pPr>
    </w:p>
    <w:p w:rsidR="00FD1EBB" w:rsidRPr="00FD1EBB" w:rsidRDefault="00FD1EBB" w:rsidP="00FD1EBB">
      <w:pPr>
        <w:tabs>
          <w:tab w:val="left" w:pos="8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EBB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ĮSTAIGOS VEIKLOS TIKSLAI, POBŪDIS, VEIKLOS REZULTATAI</w:t>
      </w:r>
    </w:p>
    <w:p w:rsidR="00FD1EBB" w:rsidRPr="00FD1EBB" w:rsidRDefault="00FD1EBB" w:rsidP="00FD1EBB">
      <w:pPr>
        <w:tabs>
          <w:tab w:val="left" w:pos="8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EBB" w:rsidRPr="00FD1EBB" w:rsidRDefault="00FD1EBB" w:rsidP="00FD1EBB">
      <w:pPr>
        <w:tabs>
          <w:tab w:val="left" w:pos="840"/>
        </w:tabs>
        <w:spacing w:after="0" w:line="360" w:lineRule="auto"/>
        <w:ind w:firstLine="7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EBB">
        <w:rPr>
          <w:rFonts w:ascii="Times New Roman" w:hAnsi="Times New Roman" w:cs="Times New Roman"/>
          <w:bCs/>
          <w:sz w:val="24"/>
          <w:szCs w:val="24"/>
        </w:rPr>
        <w:t>Įstaigos veiklos</w:t>
      </w:r>
      <w:r w:rsidRPr="00FD1EBB">
        <w:rPr>
          <w:rFonts w:ascii="Times New Roman" w:hAnsi="Times New Roman" w:cs="Times New Roman"/>
          <w:b/>
          <w:bCs/>
          <w:sz w:val="24"/>
          <w:szCs w:val="24"/>
        </w:rPr>
        <w:t xml:space="preserve"> kryptys – </w:t>
      </w:r>
      <w:r w:rsidRPr="00FD1EBB">
        <w:rPr>
          <w:rFonts w:ascii="Times New Roman" w:hAnsi="Times New Roman" w:cs="Times New Roman"/>
          <w:bCs/>
          <w:sz w:val="24"/>
          <w:szCs w:val="24"/>
        </w:rPr>
        <w:t xml:space="preserve">žmonių su proto negalia apgyvendinimas, savarankiškumo įgūdžių formavimas ir jų įtvirtinimas, užimtumo organizavimas. </w:t>
      </w:r>
    </w:p>
    <w:p w:rsidR="00FD1EBB" w:rsidRPr="00FD1EBB" w:rsidRDefault="00FD1EBB" w:rsidP="00FD1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EBB" w:rsidRPr="00FD1EBB" w:rsidRDefault="00FD1EBB" w:rsidP="00FD1EBB">
      <w:p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EBB">
        <w:rPr>
          <w:rFonts w:ascii="Times New Roman" w:hAnsi="Times New Roman" w:cs="Times New Roman"/>
          <w:b/>
          <w:bCs/>
          <w:sz w:val="24"/>
          <w:szCs w:val="24"/>
        </w:rPr>
        <w:t xml:space="preserve">     Tikslas – </w:t>
      </w:r>
      <w:r w:rsidRPr="00FD1EBB">
        <w:rPr>
          <w:rFonts w:ascii="Times New Roman" w:hAnsi="Times New Roman" w:cs="Times New Roman"/>
          <w:bCs/>
          <w:sz w:val="24"/>
          <w:szCs w:val="24"/>
        </w:rPr>
        <w:t>teikti neįgaliesiems nuolatinio pobūdžio paslaugas, kurios atkurtų ar palaikytų neįgaliųjų socialinius ir savarankiško gyvenimo įgūdžius, didintų savarankiškumą ir užimtumą bei galimybes dalyvauti visuomenės gyvenime.</w:t>
      </w:r>
    </w:p>
    <w:p w:rsidR="00F01D94" w:rsidRDefault="00B87740" w:rsidP="005C0736">
      <w:pPr>
        <w:pStyle w:val="Sraopastraipa"/>
        <w:numPr>
          <w:ilvl w:val="0"/>
          <w:numId w:val="3"/>
        </w:numPr>
        <w:tabs>
          <w:tab w:val="left" w:pos="217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740">
        <w:rPr>
          <w:rFonts w:ascii="Times New Roman" w:hAnsi="Times New Roman" w:cs="Times New Roman"/>
          <w:b/>
          <w:sz w:val="24"/>
          <w:szCs w:val="24"/>
        </w:rPr>
        <w:t>Uždavinys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49A7">
        <w:rPr>
          <w:rFonts w:ascii="Times New Roman" w:hAnsi="Times New Roman" w:cs="Times New Roman"/>
          <w:b/>
          <w:sz w:val="24"/>
          <w:szCs w:val="24"/>
        </w:rPr>
        <w:t>U</w:t>
      </w:r>
      <w:r w:rsidR="00D91D2D">
        <w:rPr>
          <w:rFonts w:ascii="Times New Roman" w:hAnsi="Times New Roman" w:cs="Times New Roman"/>
          <w:b/>
          <w:sz w:val="24"/>
          <w:szCs w:val="24"/>
        </w:rPr>
        <w:t xml:space="preserve">žimtumo, </w:t>
      </w:r>
      <w:r w:rsidR="005F49A7">
        <w:rPr>
          <w:rFonts w:ascii="Times New Roman" w:hAnsi="Times New Roman" w:cs="Times New Roman"/>
          <w:b/>
          <w:sz w:val="24"/>
          <w:szCs w:val="24"/>
        </w:rPr>
        <w:t xml:space="preserve">buitinių ir darbinių gebėjimų organizavimas, savarankiškumo įgūdžių formavimas ir įtvirtinimas. </w:t>
      </w:r>
    </w:p>
    <w:p w:rsidR="00925CE6" w:rsidRPr="00925CE6" w:rsidRDefault="009A38A4" w:rsidP="00925CE6">
      <w:p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5CE6" w:rsidRPr="00925CE6">
        <w:rPr>
          <w:rFonts w:ascii="Times New Roman" w:hAnsi="Times New Roman" w:cs="Times New Roman"/>
          <w:sz w:val="24"/>
          <w:szCs w:val="24"/>
        </w:rPr>
        <w:t>Socialinis darbas organizuojamas pagal individualius planus, atsižvelgiant į kiekvieno gyventojo gebėjimus, lavinamas gyventojų savarankiškumas, kasdieninio apsitarnavimo ir bendravimo įgūdžiai, organizuojamas darbinis užimtumas bei laisvalaikis.</w:t>
      </w:r>
      <w:r w:rsidR="00F457B2">
        <w:rPr>
          <w:rFonts w:ascii="Times New Roman" w:hAnsi="Times New Roman" w:cs="Times New Roman"/>
          <w:sz w:val="24"/>
          <w:szCs w:val="24"/>
        </w:rPr>
        <w:t xml:space="preserve"> Paslaugos namų gyventojams teikiamos ištisus metus.</w:t>
      </w:r>
    </w:p>
    <w:p w:rsidR="005C0736" w:rsidRDefault="00925CE6" w:rsidP="00925CE6">
      <w:p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C0736">
        <w:rPr>
          <w:rFonts w:ascii="Times New Roman" w:hAnsi="Times New Roman" w:cs="Times New Roman"/>
          <w:sz w:val="24"/>
          <w:szCs w:val="24"/>
        </w:rPr>
        <w:t xml:space="preserve"> </w:t>
      </w:r>
      <w:r w:rsidR="005C0736" w:rsidRPr="005C0736">
        <w:rPr>
          <w:rFonts w:ascii="Times New Roman" w:hAnsi="Times New Roman" w:cs="Times New Roman"/>
          <w:sz w:val="24"/>
          <w:szCs w:val="24"/>
        </w:rPr>
        <w:t xml:space="preserve">2016 metais įstaiga vykdė socialinės reabilitacijos neįgaliesiems projektą, kurio metu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0736" w:rsidRPr="005C0736">
        <w:rPr>
          <w:rFonts w:ascii="Times New Roman" w:hAnsi="Times New Roman" w:cs="Times New Roman"/>
          <w:sz w:val="24"/>
          <w:szCs w:val="24"/>
        </w:rPr>
        <w:t xml:space="preserve">gyventojams buvo organizuotas užimtumas įvairiuose būreliuose (mezgimo, darbo su oda, </w:t>
      </w:r>
      <w:proofErr w:type="spellStart"/>
      <w:r w:rsidR="005C0736" w:rsidRPr="005C0736">
        <w:rPr>
          <w:rFonts w:ascii="Times New Roman" w:hAnsi="Times New Roman" w:cs="Times New Roman"/>
          <w:sz w:val="24"/>
          <w:szCs w:val="24"/>
        </w:rPr>
        <w:t>dekupažo</w:t>
      </w:r>
      <w:proofErr w:type="spellEnd"/>
      <w:r w:rsidR="005C0736" w:rsidRPr="005C0736">
        <w:rPr>
          <w:rFonts w:ascii="Times New Roman" w:hAnsi="Times New Roman" w:cs="Times New Roman"/>
          <w:sz w:val="24"/>
          <w:szCs w:val="24"/>
        </w:rPr>
        <w:t>, nėrimo vašelių, kvislingo ir kt. darbelių).</w:t>
      </w:r>
    </w:p>
    <w:p w:rsidR="005C0736" w:rsidRPr="005C0736" w:rsidRDefault="005C0736" w:rsidP="00925CE6">
      <w:p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736">
        <w:rPr>
          <w:rFonts w:ascii="Times New Roman" w:hAnsi="Times New Roman" w:cs="Times New Roman"/>
          <w:sz w:val="24"/>
          <w:szCs w:val="24"/>
        </w:rPr>
        <w:t>Buvo teikiamos buitinės ir asmens higienos paslaugos.</w:t>
      </w:r>
      <w:r w:rsidR="009A38A4">
        <w:rPr>
          <w:rFonts w:ascii="Times New Roman" w:hAnsi="Times New Roman" w:cs="Times New Roman"/>
          <w:sz w:val="24"/>
          <w:szCs w:val="24"/>
        </w:rPr>
        <w:t xml:space="preserve"> 20 gyventojų buvo aprūpinti asmens higienos priemonėmis.</w:t>
      </w:r>
      <w:r w:rsidRPr="005C0736">
        <w:rPr>
          <w:rFonts w:ascii="Times New Roman" w:hAnsi="Times New Roman" w:cs="Times New Roman"/>
          <w:sz w:val="24"/>
          <w:szCs w:val="24"/>
        </w:rPr>
        <w:t xml:space="preserve"> Gyventojai savo gyvenamąsias pata</w:t>
      </w:r>
      <w:r w:rsidR="009A38A4">
        <w:rPr>
          <w:rFonts w:ascii="Times New Roman" w:hAnsi="Times New Roman" w:cs="Times New Roman"/>
          <w:sz w:val="24"/>
          <w:szCs w:val="24"/>
        </w:rPr>
        <w:t xml:space="preserve">lpas </w:t>
      </w:r>
      <w:r w:rsidRPr="005C0736">
        <w:rPr>
          <w:rFonts w:ascii="Times New Roman" w:hAnsi="Times New Roman" w:cs="Times New Roman"/>
          <w:sz w:val="24"/>
          <w:szCs w:val="24"/>
        </w:rPr>
        <w:t>tvarkė patys, 3 kartus per savaitę, jiems padėjo socialinio darbuotojo padėjėj</w:t>
      </w:r>
      <w:r w:rsidR="009A38A4">
        <w:rPr>
          <w:rFonts w:ascii="Times New Roman" w:hAnsi="Times New Roman" w:cs="Times New Roman"/>
          <w:sz w:val="24"/>
          <w:szCs w:val="24"/>
        </w:rPr>
        <w:t>os. Lovos skalbinių</w:t>
      </w:r>
      <w:r w:rsidRPr="005C0736">
        <w:rPr>
          <w:rFonts w:ascii="Times New Roman" w:hAnsi="Times New Roman" w:cs="Times New Roman"/>
          <w:sz w:val="24"/>
          <w:szCs w:val="24"/>
        </w:rPr>
        <w:t xml:space="preserve"> keitimas vyko pagal individualų grafiką bei esant būtinybei.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36">
        <w:rPr>
          <w:rFonts w:ascii="Times New Roman" w:hAnsi="Times New Roman" w:cs="Times New Roman"/>
          <w:sz w:val="24"/>
          <w:szCs w:val="24"/>
        </w:rPr>
        <w:t>Gyventojai tvarkė Namų aplinką, prižiūrėjo gėlynus, šienavo žolę ir grėbė lapus.</w:t>
      </w:r>
    </w:p>
    <w:p w:rsidR="005C0736" w:rsidRPr="005C0736" w:rsidRDefault="005C0736" w:rsidP="00925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36">
        <w:rPr>
          <w:rFonts w:ascii="Times New Roman" w:hAnsi="Times New Roman" w:cs="Times New Roman"/>
          <w:sz w:val="24"/>
          <w:szCs w:val="24"/>
        </w:rPr>
        <w:t>Gyventojai buvo moko</w:t>
      </w:r>
      <w:r w:rsidR="001B51BD">
        <w:rPr>
          <w:rFonts w:ascii="Times New Roman" w:hAnsi="Times New Roman" w:cs="Times New Roman"/>
          <w:sz w:val="24"/>
          <w:szCs w:val="24"/>
        </w:rPr>
        <w:t>mi gaminti maistą, skalbti ir ly</w:t>
      </w:r>
      <w:r w:rsidRPr="005C0736">
        <w:rPr>
          <w:rFonts w:ascii="Times New Roman" w:hAnsi="Times New Roman" w:cs="Times New Roman"/>
          <w:sz w:val="24"/>
          <w:szCs w:val="24"/>
        </w:rPr>
        <w:t xml:space="preserve">ginti drabužius ir patalynę. </w:t>
      </w:r>
    </w:p>
    <w:p w:rsidR="00925CE6" w:rsidRPr="000025A7" w:rsidRDefault="000025A7" w:rsidP="005C07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5A7">
        <w:rPr>
          <w:rFonts w:ascii="Times New Roman" w:hAnsi="Times New Roman" w:cs="Times New Roman"/>
          <w:b/>
          <w:sz w:val="24"/>
          <w:szCs w:val="24"/>
        </w:rPr>
        <w:t>2. Uždavinys.</w:t>
      </w:r>
      <w:r>
        <w:rPr>
          <w:rFonts w:ascii="Times New Roman" w:hAnsi="Times New Roman" w:cs="Times New Roman"/>
          <w:b/>
          <w:sz w:val="24"/>
          <w:szCs w:val="24"/>
        </w:rPr>
        <w:t xml:space="preserve"> Gyvenimo namų gyventojų informavimas ir konsultavimas įvairiais klausimais, asmeninio asistento pagalbos teikimas.</w:t>
      </w:r>
    </w:p>
    <w:p w:rsidR="00F01D94" w:rsidRDefault="00D91D2D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0736">
        <w:rPr>
          <w:rFonts w:ascii="Times New Roman" w:hAnsi="Times New Roman" w:cs="Times New Roman"/>
          <w:sz w:val="24"/>
          <w:szCs w:val="24"/>
        </w:rPr>
        <w:t xml:space="preserve">   </w:t>
      </w:r>
      <w:r w:rsidR="000025A7" w:rsidRPr="000025A7">
        <w:rPr>
          <w:rFonts w:ascii="Times New Roman" w:hAnsi="Times New Roman" w:cs="Times New Roman"/>
          <w:sz w:val="24"/>
          <w:szCs w:val="24"/>
        </w:rPr>
        <w:t xml:space="preserve">Kiekvieną dieną vyko individualūs </w:t>
      </w:r>
      <w:r w:rsidR="000025A7">
        <w:rPr>
          <w:rFonts w:ascii="Times New Roman" w:hAnsi="Times New Roman" w:cs="Times New Roman"/>
          <w:sz w:val="24"/>
          <w:szCs w:val="24"/>
        </w:rPr>
        <w:t xml:space="preserve">pokalbiai, individualus darbas su gyventojais. Metų eigoje įvyko 8 gyventojų susirinkimai. </w:t>
      </w:r>
    </w:p>
    <w:p w:rsidR="00F01D94" w:rsidRDefault="000025A7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2016 metus Namų gyventojams buvo suteikta 123 asmeninio asistento paslaugos</w:t>
      </w:r>
      <w:r w:rsidR="00D91D2D">
        <w:rPr>
          <w:rFonts w:ascii="Times New Roman" w:hAnsi="Times New Roman" w:cs="Times New Roman"/>
          <w:sz w:val="24"/>
          <w:szCs w:val="24"/>
        </w:rPr>
        <w:t xml:space="preserve">, iš jų </w:t>
      </w:r>
      <w:r>
        <w:rPr>
          <w:rFonts w:ascii="Times New Roman" w:hAnsi="Times New Roman" w:cs="Times New Roman"/>
          <w:sz w:val="24"/>
          <w:szCs w:val="24"/>
        </w:rPr>
        <w:t>: 113 kartų lankytasi Kėdainių pirminio sv</w:t>
      </w:r>
      <w:r w:rsidR="00D91D2D">
        <w:rPr>
          <w:rFonts w:ascii="Times New Roman" w:hAnsi="Times New Roman" w:cs="Times New Roman"/>
          <w:sz w:val="24"/>
          <w:szCs w:val="24"/>
        </w:rPr>
        <w:t xml:space="preserve">eikatos priežiūros centre: šeimos gydytojų, chirurgų, gydytojų </w:t>
      </w:r>
      <w:proofErr w:type="spellStart"/>
      <w:r w:rsidR="00D91D2D">
        <w:rPr>
          <w:rFonts w:ascii="Times New Roman" w:hAnsi="Times New Roman" w:cs="Times New Roman"/>
          <w:sz w:val="24"/>
          <w:szCs w:val="24"/>
        </w:rPr>
        <w:t>odontologų</w:t>
      </w:r>
      <w:proofErr w:type="spellEnd"/>
      <w:r w:rsidR="00D91D2D">
        <w:rPr>
          <w:rFonts w:ascii="Times New Roman" w:hAnsi="Times New Roman" w:cs="Times New Roman"/>
          <w:sz w:val="24"/>
          <w:szCs w:val="24"/>
        </w:rPr>
        <w:t>, psichikos sveikatos centro gydytojų konsultacijose. 4 kartus lankytasi miesto seniūnijoje, 4 kartus Kėdainių migracijos tarnyboje, 2 kartus Kėdainių advokatų kontoroje.</w:t>
      </w:r>
    </w:p>
    <w:p w:rsidR="005C0736" w:rsidRPr="005C0736" w:rsidRDefault="005C0736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D94" w:rsidRDefault="006C59B7" w:rsidP="005C07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59B7">
        <w:rPr>
          <w:rFonts w:ascii="Times New Roman" w:hAnsi="Times New Roman" w:cs="Times New Roman"/>
          <w:b/>
          <w:sz w:val="24"/>
          <w:szCs w:val="24"/>
        </w:rPr>
        <w:t>3.</w:t>
      </w:r>
      <w:r w:rsidR="005C0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9B7">
        <w:rPr>
          <w:rFonts w:ascii="Times New Roman" w:hAnsi="Times New Roman" w:cs="Times New Roman"/>
          <w:b/>
          <w:sz w:val="24"/>
          <w:szCs w:val="24"/>
        </w:rPr>
        <w:t>Uždavinys.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997">
        <w:rPr>
          <w:rFonts w:ascii="Times New Roman" w:hAnsi="Times New Roman" w:cs="Times New Roman"/>
          <w:b/>
          <w:sz w:val="24"/>
          <w:szCs w:val="24"/>
        </w:rPr>
        <w:t>Koncertų, parodų lankymas, išvykų į įvairius renginius organizavimas, valstybinių ir religinių švenčių šventimas.</w:t>
      </w:r>
    </w:p>
    <w:p w:rsidR="00047997" w:rsidRDefault="00047997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5C07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7997">
        <w:rPr>
          <w:rFonts w:ascii="Times New Roman" w:hAnsi="Times New Roman" w:cs="Times New Roman"/>
          <w:sz w:val="24"/>
          <w:szCs w:val="24"/>
        </w:rPr>
        <w:t>Įstaigoje</w:t>
      </w:r>
      <w:r>
        <w:rPr>
          <w:rFonts w:ascii="Times New Roman" w:hAnsi="Times New Roman" w:cs="Times New Roman"/>
          <w:sz w:val="24"/>
          <w:szCs w:val="24"/>
        </w:rPr>
        <w:t xml:space="preserve"> minimos tradicinės metinės šventės: Šv. Velykos, Šv. Kalėdos, Nauji metai, Šv. Valentino diena, tarptautinė neįgaliųjų diena, švenčiami gyventojų gimtadieniai.</w:t>
      </w:r>
    </w:p>
    <w:p w:rsidR="00047997" w:rsidRDefault="00047997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Aplankytos parodos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Arnetų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name, J. Monkutės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muziejuje.</w:t>
      </w:r>
      <w:r w:rsidR="006A6914">
        <w:rPr>
          <w:rFonts w:ascii="Times New Roman" w:hAnsi="Times New Roman" w:cs="Times New Roman"/>
          <w:sz w:val="24"/>
          <w:szCs w:val="24"/>
        </w:rPr>
        <w:t xml:space="preserve"> Įstaigoje lankėsi: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914">
        <w:rPr>
          <w:rFonts w:ascii="Times New Roman" w:hAnsi="Times New Roman" w:cs="Times New Roman"/>
          <w:sz w:val="24"/>
          <w:szCs w:val="24"/>
        </w:rPr>
        <w:t xml:space="preserve">muzikos mokytoja ir </w:t>
      </w:r>
      <w:proofErr w:type="spellStart"/>
      <w:r w:rsidR="006A6914">
        <w:rPr>
          <w:rFonts w:ascii="Times New Roman" w:hAnsi="Times New Roman" w:cs="Times New Roman"/>
          <w:sz w:val="24"/>
          <w:szCs w:val="24"/>
        </w:rPr>
        <w:t>mandalų</w:t>
      </w:r>
      <w:proofErr w:type="spellEnd"/>
      <w:r w:rsidR="006A6914">
        <w:rPr>
          <w:rFonts w:ascii="Times New Roman" w:hAnsi="Times New Roman" w:cs="Times New Roman"/>
          <w:sz w:val="24"/>
          <w:szCs w:val="24"/>
        </w:rPr>
        <w:t xml:space="preserve"> meistrė Aurelija Grigaravičiūtė, Kauno apskrities vyriausiojo policijos komisariato Kėdainių rajono policijos komisariato bendruomenės pareigūnė Aušra Mickevičienė, Kėdainių profesinio rengimo centro mokytojos.</w:t>
      </w:r>
    </w:p>
    <w:p w:rsidR="006A6914" w:rsidRDefault="006A6914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Liepos mėn. 2 gyventojai dalyvavo neįgaliųjų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abilimpiadoje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0736">
        <w:rPr>
          <w:rFonts w:ascii="Times New Roman" w:hAnsi="Times New Roman" w:cs="Times New Roman"/>
          <w:sz w:val="24"/>
          <w:szCs w:val="24"/>
        </w:rPr>
        <w:t>liepos – rugpjūčio mėn.  gyventojai gamino gerumo gėles, kurias Kėdainių moterų „LIONS“ klubo narės Kėdainių miesto šventės mugėje už simbolinę auką siūlė įsigyti. Lėšos buvo renkamos pavėsinės statyboms.</w:t>
      </w:r>
    </w:p>
    <w:p w:rsidR="005C0736" w:rsidRDefault="005C0736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Rugsėjo mėnesį 5 įstaigos gyventojai su darbuotojais dalyvavo respublikinėje neįgaliųjų darbų parodoje- mugėje – koncerte- šventėje „Tau, Vilniau“</w:t>
      </w:r>
    </w:p>
    <w:p w:rsidR="005C0736" w:rsidRDefault="005C0736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Lapkričio mėn. dalyvavome neįgaliųjų šventėje „Pabūkime visi kartu“.</w:t>
      </w:r>
    </w:p>
    <w:p w:rsidR="005C0736" w:rsidRPr="00047997" w:rsidRDefault="005C0736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D94" w:rsidRPr="00F01D94" w:rsidRDefault="00F01D94" w:rsidP="00F01D94">
      <w:pPr>
        <w:tabs>
          <w:tab w:val="left" w:pos="8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D94">
        <w:rPr>
          <w:rFonts w:ascii="Times New Roman" w:hAnsi="Times New Roman" w:cs="Times New Roman"/>
          <w:b/>
          <w:bCs/>
          <w:sz w:val="24"/>
          <w:szCs w:val="24"/>
        </w:rPr>
        <w:t>IV. ŽMOGIŠKŲJŲ IŠTEKLIŲ VALDYMAS</w:t>
      </w:r>
    </w:p>
    <w:p w:rsidR="00F01D94" w:rsidRPr="00F01D94" w:rsidRDefault="00F01D94" w:rsidP="00F01D94">
      <w:pPr>
        <w:tabs>
          <w:tab w:val="left" w:pos="4200"/>
        </w:tabs>
        <w:spacing w:line="36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D94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F01D94">
        <w:rPr>
          <w:rFonts w:ascii="Times New Roman" w:hAnsi="Times New Roman" w:cs="Times New Roman"/>
          <w:sz w:val="24"/>
          <w:szCs w:val="24"/>
        </w:rPr>
        <w:t xml:space="preserve"> „Gyvenimo namuose sut</w:t>
      </w:r>
      <w:r>
        <w:rPr>
          <w:rFonts w:ascii="Times New Roman" w:hAnsi="Times New Roman" w:cs="Times New Roman"/>
          <w:sz w:val="24"/>
          <w:szCs w:val="24"/>
        </w:rPr>
        <w:t>rikusio intelekto asmenims“ 2016</w:t>
      </w:r>
      <w:r w:rsidRPr="00F01D94">
        <w:rPr>
          <w:rFonts w:ascii="Times New Roman" w:hAnsi="Times New Roman" w:cs="Times New Roman"/>
          <w:sz w:val="24"/>
          <w:szCs w:val="24"/>
        </w:rPr>
        <w:t xml:space="preserve"> metais gyveno 20 neįgaliųjų, virš 18 metų, turinčių nuo 20 </w:t>
      </w:r>
      <w:r>
        <w:rPr>
          <w:rFonts w:ascii="Times New Roman" w:hAnsi="Times New Roman" w:cs="Times New Roman"/>
          <w:sz w:val="24"/>
          <w:szCs w:val="24"/>
        </w:rPr>
        <w:t>iki 50 proc. darbingumo lygio.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1230"/>
        <w:gridCol w:w="3540"/>
        <w:gridCol w:w="2475"/>
        <w:gridCol w:w="2368"/>
      </w:tblGrid>
      <w:tr w:rsidR="00F01D94" w:rsidRPr="00F01D94" w:rsidTr="00681860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Metai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Neįgalus asmenys su proto negalia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Vyrai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Moteris</w:t>
            </w:r>
          </w:p>
        </w:tc>
      </w:tr>
      <w:tr w:rsidR="00F01D94" w:rsidRPr="00F01D94" w:rsidTr="00681860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D94" w:rsidRPr="00F01D94" w:rsidRDefault="00B93355" w:rsidP="00B93355">
            <w:pPr>
              <w:tabs>
                <w:tab w:val="left" w:pos="840"/>
                <w:tab w:val="center" w:pos="1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01D94"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01D94" w:rsidRPr="00F01D94" w:rsidTr="00681860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Iš jų našlaičiai: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D94" w:rsidRPr="00F01D94" w:rsidRDefault="00F01D94" w:rsidP="00681860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F01D94" w:rsidRDefault="00F01D94" w:rsidP="00F01D94">
      <w:pPr>
        <w:pStyle w:val="Sraopastraipa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C1" w:rsidRDefault="00C177D8" w:rsidP="00F01D94">
      <w:proofErr w:type="spellStart"/>
      <w:r w:rsidRPr="00F01D94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F01D94">
        <w:rPr>
          <w:rFonts w:ascii="Times New Roman" w:hAnsi="Times New Roman" w:cs="Times New Roman"/>
          <w:sz w:val="24"/>
          <w:szCs w:val="24"/>
        </w:rPr>
        <w:t xml:space="preserve"> „Gyvenimo namuose sut</w:t>
      </w:r>
      <w:r>
        <w:rPr>
          <w:rFonts w:ascii="Times New Roman" w:hAnsi="Times New Roman" w:cs="Times New Roman"/>
          <w:sz w:val="24"/>
          <w:szCs w:val="24"/>
        </w:rPr>
        <w:t xml:space="preserve">rikusio intelekto asmenims“ patvirtinta </w:t>
      </w:r>
      <w:r w:rsidR="00BD50C1">
        <w:rPr>
          <w:rFonts w:ascii="Times New Roman" w:hAnsi="Times New Roman" w:cs="Times New Roman"/>
          <w:sz w:val="24"/>
          <w:szCs w:val="24"/>
        </w:rPr>
        <w:t>7,25 etato. Dirba 8 darbuotojai.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62"/>
        <w:gridCol w:w="3366"/>
        <w:gridCol w:w="2410"/>
        <w:gridCol w:w="2409"/>
      </w:tblGrid>
      <w:tr w:rsidR="006971C0" w:rsidTr="0053795E">
        <w:tc>
          <w:tcPr>
            <w:tcW w:w="1562" w:type="dxa"/>
          </w:tcPr>
          <w:p w:rsidR="006971C0" w:rsidRPr="00BC7341" w:rsidRDefault="006971C0" w:rsidP="006971C0">
            <w:pPr>
              <w:jc w:val="center"/>
              <w:rPr>
                <w:rFonts w:ascii="Times New Roman" w:hAnsi="Times New Roman" w:cs="Times New Roman"/>
              </w:rPr>
            </w:pPr>
            <w:r w:rsidRPr="00BC7341">
              <w:rPr>
                <w:rFonts w:ascii="Times New Roman" w:hAnsi="Times New Roman" w:cs="Times New Roman"/>
              </w:rPr>
              <w:t>Iš viso patvirtintas etatų skaičius</w:t>
            </w:r>
          </w:p>
        </w:tc>
        <w:tc>
          <w:tcPr>
            <w:tcW w:w="3366" w:type="dxa"/>
          </w:tcPr>
          <w:p w:rsidR="006971C0" w:rsidRPr="006971C0" w:rsidRDefault="006971C0" w:rsidP="0069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Administracija(direktorė ir buhalterė)</w:t>
            </w:r>
          </w:p>
        </w:tc>
        <w:tc>
          <w:tcPr>
            <w:tcW w:w="2410" w:type="dxa"/>
          </w:tcPr>
          <w:p w:rsidR="006971C0" w:rsidRPr="006971C0" w:rsidRDefault="006971C0" w:rsidP="0069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Socialinio darbuotojo padėjėjai</w:t>
            </w:r>
          </w:p>
        </w:tc>
        <w:tc>
          <w:tcPr>
            <w:tcW w:w="2409" w:type="dxa"/>
          </w:tcPr>
          <w:p w:rsidR="006971C0" w:rsidRPr="006971C0" w:rsidRDefault="006971C0" w:rsidP="0069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Virtuvės darbuotoja</w:t>
            </w:r>
          </w:p>
        </w:tc>
      </w:tr>
      <w:tr w:rsidR="006971C0" w:rsidTr="0053795E">
        <w:tc>
          <w:tcPr>
            <w:tcW w:w="1562" w:type="dxa"/>
          </w:tcPr>
          <w:p w:rsidR="006971C0" w:rsidRPr="006971C0" w:rsidRDefault="006971C0" w:rsidP="0069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3366" w:type="dxa"/>
          </w:tcPr>
          <w:p w:rsidR="006971C0" w:rsidRPr="006971C0" w:rsidRDefault="006971C0" w:rsidP="0069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6971C0" w:rsidRPr="006971C0" w:rsidRDefault="006971C0" w:rsidP="0069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09" w:type="dxa"/>
          </w:tcPr>
          <w:p w:rsidR="006971C0" w:rsidRPr="006971C0" w:rsidRDefault="006971C0" w:rsidP="0069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6971C0" w:rsidRDefault="006971C0" w:rsidP="006971C0">
      <w:pPr>
        <w:jc w:val="center"/>
      </w:pPr>
    </w:p>
    <w:p w:rsidR="006971C0" w:rsidRPr="006971C0" w:rsidRDefault="006971C0" w:rsidP="00410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C0">
        <w:rPr>
          <w:rFonts w:ascii="Times New Roman" w:hAnsi="Times New Roman" w:cs="Times New Roman"/>
          <w:sz w:val="24"/>
          <w:szCs w:val="24"/>
        </w:rPr>
        <w:t>Darbuotojų kvalifikacijos tobulinimas:</w:t>
      </w:r>
    </w:p>
    <w:p w:rsidR="006971C0" w:rsidRDefault="006971C0" w:rsidP="00410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C0">
        <w:rPr>
          <w:rFonts w:ascii="Times New Roman" w:hAnsi="Times New Roman" w:cs="Times New Roman"/>
          <w:sz w:val="24"/>
          <w:szCs w:val="24"/>
        </w:rPr>
        <w:t>Direktorė dalyvavo  tob</w:t>
      </w:r>
      <w:r>
        <w:rPr>
          <w:rFonts w:ascii="Times New Roman" w:hAnsi="Times New Roman" w:cs="Times New Roman"/>
          <w:sz w:val="24"/>
          <w:szCs w:val="24"/>
        </w:rPr>
        <w:t xml:space="preserve">ulinimo kursuose ir išklausė 24 </w:t>
      </w:r>
      <w:r w:rsidRPr="006971C0">
        <w:rPr>
          <w:rFonts w:ascii="Times New Roman" w:hAnsi="Times New Roman" w:cs="Times New Roman"/>
          <w:sz w:val="24"/>
          <w:szCs w:val="24"/>
        </w:rPr>
        <w:t>val.</w:t>
      </w:r>
    </w:p>
    <w:p w:rsidR="006971C0" w:rsidRPr="006971C0" w:rsidRDefault="006971C0" w:rsidP="00410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Socialinio darbuotojo padėjėjos dalyvavo periodiniuose socialinių darbuotojų padėjėjų 16 valandų teoriniuose </w:t>
      </w:r>
      <w:r w:rsidR="00410D98">
        <w:rPr>
          <w:rFonts w:ascii="Times New Roman" w:hAnsi="Times New Roman" w:cs="Times New Roman"/>
          <w:sz w:val="24"/>
          <w:szCs w:val="24"/>
        </w:rPr>
        <w:t>mokymuose.</w:t>
      </w:r>
    </w:p>
    <w:p w:rsidR="00410D98" w:rsidRDefault="00410D98" w:rsidP="006971C0">
      <w:pPr>
        <w:rPr>
          <w:rFonts w:ascii="Times New Roman" w:hAnsi="Times New Roman" w:cs="Times New Roman"/>
          <w:sz w:val="24"/>
          <w:szCs w:val="24"/>
        </w:rPr>
      </w:pPr>
    </w:p>
    <w:p w:rsidR="0061734A" w:rsidRPr="00410D98" w:rsidRDefault="0061734A" w:rsidP="006971C0">
      <w:pPr>
        <w:rPr>
          <w:rFonts w:ascii="Times New Roman" w:hAnsi="Times New Roman" w:cs="Times New Roman"/>
          <w:sz w:val="24"/>
          <w:szCs w:val="24"/>
        </w:rPr>
      </w:pPr>
    </w:p>
    <w:p w:rsidR="00410D98" w:rsidRPr="00410D98" w:rsidRDefault="00410D98" w:rsidP="00410D98">
      <w:pPr>
        <w:tabs>
          <w:tab w:val="left" w:pos="4200"/>
        </w:tabs>
        <w:spacing w:line="36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b/>
          <w:sz w:val="24"/>
          <w:szCs w:val="24"/>
        </w:rPr>
        <w:lastRenderedPageBreak/>
        <w:t>V. FINANSINIŲ IŠTEKLIŲ VALDYMAS</w:t>
      </w:r>
    </w:p>
    <w:p w:rsidR="00410D98" w:rsidRPr="00410D98" w:rsidRDefault="00410D98" w:rsidP="00410D98">
      <w:pPr>
        <w:tabs>
          <w:tab w:val="left" w:pos="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10D98" w:rsidRPr="00143C55" w:rsidRDefault="00410D98" w:rsidP="00143C55">
      <w:pPr>
        <w:pStyle w:val="Sraopastraipa"/>
        <w:numPr>
          <w:ilvl w:val="0"/>
          <w:numId w:val="4"/>
        </w:num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Finansavimo šaltiniai 2016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1"/>
        <w:gridCol w:w="2735"/>
        <w:gridCol w:w="1596"/>
        <w:gridCol w:w="1545"/>
        <w:gridCol w:w="1551"/>
        <w:gridCol w:w="1556"/>
      </w:tblGrid>
      <w:tr w:rsidR="00410D98" w:rsidRPr="00410D98" w:rsidTr="00681860">
        <w:trPr>
          <w:trHeight w:val="132"/>
        </w:trPr>
        <w:tc>
          <w:tcPr>
            <w:tcW w:w="871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2735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Lėšų šaltiniai</w:t>
            </w:r>
          </w:p>
        </w:tc>
        <w:tc>
          <w:tcPr>
            <w:tcW w:w="1596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Lėšų likutis metų pradžioje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tūks.(Eur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Gauta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tūks.(Eur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Išlaidos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tūks.(Eur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Lėšų likutis metų pabaigoje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tūks.(Eur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0D98" w:rsidRPr="00410D98" w:rsidTr="00681860">
        <w:tc>
          <w:tcPr>
            <w:tcW w:w="871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5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Kėdainių rajono savivaldybė</w:t>
            </w:r>
          </w:p>
        </w:tc>
        <w:tc>
          <w:tcPr>
            <w:tcW w:w="159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1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D98" w:rsidRPr="00410D98" w:rsidTr="00681860">
        <w:tc>
          <w:tcPr>
            <w:tcW w:w="871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5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Gyventojų įnašai 80 proc.</w:t>
            </w:r>
          </w:p>
        </w:tc>
        <w:tc>
          <w:tcPr>
            <w:tcW w:w="159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45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551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5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10D98" w:rsidRPr="00410D98" w:rsidTr="00681860">
        <w:tc>
          <w:tcPr>
            <w:tcW w:w="871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5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2 proc. pajamų mokesčio parama</w:t>
            </w:r>
          </w:p>
        </w:tc>
        <w:tc>
          <w:tcPr>
            <w:tcW w:w="159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45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1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10D98" w:rsidRPr="00410D98" w:rsidTr="00681860">
        <w:tc>
          <w:tcPr>
            <w:tcW w:w="871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5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Panevėžio rajono savivaldybės lėšos</w:t>
            </w:r>
          </w:p>
        </w:tc>
        <w:tc>
          <w:tcPr>
            <w:tcW w:w="159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1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D98" w:rsidRPr="00410D98" w:rsidTr="00681860">
        <w:tc>
          <w:tcPr>
            <w:tcW w:w="871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410D98" w:rsidRPr="00410D98" w:rsidRDefault="00410D98" w:rsidP="00681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10D98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596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1545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97,4</w:t>
            </w:r>
          </w:p>
        </w:tc>
        <w:tc>
          <w:tcPr>
            <w:tcW w:w="1551" w:type="dxa"/>
          </w:tcPr>
          <w:p w:rsidR="00410D98" w:rsidRPr="00410D98" w:rsidRDefault="00410D98" w:rsidP="0068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95,2</w:t>
            </w:r>
          </w:p>
        </w:tc>
        <w:tc>
          <w:tcPr>
            <w:tcW w:w="1556" w:type="dxa"/>
          </w:tcPr>
          <w:p w:rsidR="00410D98" w:rsidRPr="00410D98" w:rsidRDefault="00DC687C" w:rsidP="0068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410D98" w:rsidRPr="00410D98" w:rsidRDefault="00410D98" w:rsidP="009726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0D98" w:rsidRPr="00143C55" w:rsidRDefault="00410D98" w:rsidP="00143C55">
      <w:pPr>
        <w:pStyle w:val="Sraopastraipa"/>
        <w:numPr>
          <w:ilvl w:val="0"/>
          <w:numId w:val="3"/>
        </w:numPr>
        <w:spacing w:line="3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Informacija apie įstaigos išlaidas per 2016 metus</w:t>
      </w: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765"/>
        <w:gridCol w:w="3510"/>
        <w:gridCol w:w="1560"/>
        <w:gridCol w:w="1950"/>
        <w:gridCol w:w="1873"/>
      </w:tblGrid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Išlaidų pavadinimas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Patvirtintas planas su patikslinimas</w:t>
            </w:r>
          </w:p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tūks.(Eur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Gauti asignavimai</w:t>
            </w:r>
          </w:p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tūks.(Eur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Kasinės išlaidos</w:t>
            </w:r>
          </w:p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tūks.(Eur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Darbo užmokestis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Mityba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Komunalinės išlaidos: iš jų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napToGrid w:val="0"/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ryšių paslaugos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napToGrid w:val="0"/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napToGrid w:val="0"/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napToGrid w:val="0"/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kitos prekės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napToGrid w:val="0"/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napToGrid w:val="0"/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4C4AD3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Higienos priemonės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Spaudos prenumerata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Kitos paslaugos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10D98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410D98" w:rsidP="00681860">
            <w:pPr>
              <w:spacing w:line="3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Kitos išlaidos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D98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87C" w:rsidRPr="00410D98" w:rsidTr="0068186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687C" w:rsidRPr="00410D98" w:rsidRDefault="00DC687C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687C" w:rsidRPr="00DC687C" w:rsidRDefault="00DC687C" w:rsidP="00681860">
            <w:pPr>
              <w:spacing w:line="3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87C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687C" w:rsidRPr="00143C55" w:rsidRDefault="00143C55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55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687C" w:rsidRPr="00143C55" w:rsidRDefault="00143C55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55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687C" w:rsidRPr="00143C55" w:rsidRDefault="00143C55" w:rsidP="00681860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55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</w:tbl>
    <w:p w:rsidR="00410D98" w:rsidRPr="00410D98" w:rsidRDefault="00410D98" w:rsidP="00410D98">
      <w:pPr>
        <w:tabs>
          <w:tab w:val="left" w:pos="8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D98" w:rsidRPr="00410D98" w:rsidRDefault="00410D98" w:rsidP="00143C55">
      <w:pPr>
        <w:tabs>
          <w:tab w:val="left" w:pos="4200"/>
        </w:tabs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2016</w:t>
      </w:r>
      <w:r w:rsidRPr="00410D98">
        <w:rPr>
          <w:rFonts w:ascii="Times New Roman" w:hAnsi="Times New Roman" w:cs="Times New Roman"/>
          <w:sz w:val="24"/>
          <w:szCs w:val="24"/>
        </w:rPr>
        <w:t xml:space="preserve"> metus Viešoji įstaiga „Gyvenimo namai sutrikusio intelekto asmenims“ neįsigijo ir nep</w:t>
      </w:r>
      <w:r w:rsidR="00143C55">
        <w:rPr>
          <w:rFonts w:ascii="Times New Roman" w:hAnsi="Times New Roman" w:cs="Times New Roman"/>
          <w:sz w:val="24"/>
          <w:szCs w:val="24"/>
        </w:rPr>
        <w:t>erleido jokio ilgalaikio turto.</w:t>
      </w:r>
    </w:p>
    <w:p w:rsidR="00410D98" w:rsidRPr="00410D98" w:rsidRDefault="00410D98" w:rsidP="00410D98">
      <w:pPr>
        <w:tabs>
          <w:tab w:val="left" w:pos="4200"/>
        </w:tabs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10D98" w:rsidRPr="00410D98" w:rsidRDefault="00410D98" w:rsidP="0051632A">
      <w:pPr>
        <w:tabs>
          <w:tab w:val="left" w:pos="8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D98">
        <w:rPr>
          <w:rFonts w:ascii="Times New Roman" w:hAnsi="Times New Roman" w:cs="Times New Roman"/>
          <w:b/>
          <w:bCs/>
          <w:sz w:val="24"/>
          <w:szCs w:val="24"/>
        </w:rPr>
        <w:t>VI. DUOMENYS APIE ĮSTAIGOS VADOVĄ</w:t>
      </w:r>
    </w:p>
    <w:p w:rsidR="00410D98" w:rsidRPr="00410D98" w:rsidRDefault="00410D98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sz w:val="24"/>
          <w:szCs w:val="24"/>
        </w:rPr>
        <w:t xml:space="preserve">         Įstaigos direktorė – Asta </w:t>
      </w:r>
      <w:proofErr w:type="spellStart"/>
      <w:r w:rsidRPr="00410D98">
        <w:rPr>
          <w:rFonts w:ascii="Times New Roman" w:hAnsi="Times New Roman" w:cs="Times New Roman"/>
          <w:sz w:val="24"/>
          <w:szCs w:val="24"/>
        </w:rPr>
        <w:t>Rekštienė</w:t>
      </w:r>
      <w:proofErr w:type="spellEnd"/>
      <w:r w:rsidRPr="00410D98">
        <w:rPr>
          <w:rFonts w:ascii="Times New Roman" w:hAnsi="Times New Roman" w:cs="Times New Roman"/>
          <w:sz w:val="24"/>
          <w:szCs w:val="24"/>
        </w:rPr>
        <w:t>, šioje įstaigoje dirba nuo 2010 metų vasario 18 d.  Išsilavinimas   –  aukštasis universitetinis (socialinio pedagogo kvalifikacija, edukologijos magistro laipsnis) Kauno kolegija, VDU.</w:t>
      </w:r>
    </w:p>
    <w:p w:rsidR="00410D98" w:rsidRPr="00410D98" w:rsidRDefault="00410D98" w:rsidP="005C0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bCs/>
          <w:sz w:val="24"/>
          <w:szCs w:val="24"/>
        </w:rPr>
        <w:t xml:space="preserve">Kontaktai : </w:t>
      </w:r>
      <w:proofErr w:type="spellStart"/>
      <w:r w:rsidRPr="00410D98">
        <w:rPr>
          <w:rFonts w:ascii="Times New Roman" w:hAnsi="Times New Roman" w:cs="Times New Roman"/>
          <w:bCs/>
          <w:sz w:val="24"/>
          <w:szCs w:val="24"/>
        </w:rPr>
        <w:t>el.p</w:t>
      </w:r>
      <w:proofErr w:type="spellEnd"/>
      <w:r w:rsidRPr="00410D98">
        <w:rPr>
          <w:rFonts w:ascii="Times New Roman" w:hAnsi="Times New Roman" w:cs="Times New Roman"/>
          <w:bCs/>
          <w:sz w:val="24"/>
          <w:szCs w:val="24"/>
        </w:rPr>
        <w:t xml:space="preserve">.  </w:t>
      </w:r>
      <w:hyperlink r:id="rId6" w:history="1">
        <w:r w:rsidRPr="00410D98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rekstiene.asta</w:t>
        </w:r>
        <w:r w:rsidRPr="00410D98">
          <w:rPr>
            <w:rStyle w:val="Hipersaitas"/>
            <w:rFonts w:ascii="Times New Roman" w:hAnsi="Times New Roman" w:cs="Times New Roman"/>
            <w:sz w:val="24"/>
            <w:szCs w:val="24"/>
          </w:rPr>
          <w:t>@gmail.com</w:t>
        </w:r>
      </w:hyperlink>
      <w:r w:rsidRPr="00410D98">
        <w:rPr>
          <w:rFonts w:ascii="Times New Roman" w:hAnsi="Times New Roman" w:cs="Times New Roman"/>
          <w:sz w:val="24"/>
          <w:szCs w:val="24"/>
        </w:rPr>
        <w:t>, tel. (8 347)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D98">
        <w:rPr>
          <w:rFonts w:ascii="Times New Roman" w:hAnsi="Times New Roman" w:cs="Times New Roman"/>
          <w:sz w:val="24"/>
          <w:szCs w:val="24"/>
        </w:rPr>
        <w:t>50615.</w:t>
      </w:r>
    </w:p>
    <w:p w:rsidR="00410D98" w:rsidRDefault="00410D98" w:rsidP="005C0736">
      <w:pPr>
        <w:pStyle w:val="Sraopastraipa1"/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sz w:val="24"/>
          <w:szCs w:val="24"/>
        </w:rPr>
        <w:t>Įstaigos direktoriaus darb</w:t>
      </w:r>
      <w:r>
        <w:rPr>
          <w:rFonts w:ascii="Times New Roman" w:hAnsi="Times New Roman" w:cs="Times New Roman"/>
          <w:sz w:val="24"/>
          <w:szCs w:val="24"/>
        </w:rPr>
        <w:t>o užmokesčiui panaudota 6806,44</w:t>
      </w:r>
      <w:r w:rsidRPr="0041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D9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iš jų Sodros išlaidos 2122,32</w:t>
      </w:r>
      <w:r w:rsidRPr="0041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D9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10D98">
        <w:rPr>
          <w:rFonts w:ascii="Times New Roman" w:hAnsi="Times New Roman" w:cs="Times New Roman"/>
          <w:sz w:val="24"/>
          <w:szCs w:val="24"/>
        </w:rPr>
        <w:t xml:space="preserve">.  Kitų išlaidų nebuvo. </w:t>
      </w:r>
    </w:p>
    <w:p w:rsidR="00DC687C" w:rsidRPr="00410D98" w:rsidRDefault="00DC687C" w:rsidP="00410D98">
      <w:pPr>
        <w:pStyle w:val="Sraopastraipa1"/>
        <w:spacing w:after="0" w:line="360" w:lineRule="auto"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687C" w:rsidRPr="00DC687C" w:rsidRDefault="00DC687C" w:rsidP="005C0736">
      <w:pPr>
        <w:tabs>
          <w:tab w:val="left" w:pos="26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87C">
        <w:rPr>
          <w:rFonts w:ascii="Times New Roman" w:hAnsi="Times New Roman" w:cs="Times New Roman"/>
          <w:b/>
          <w:sz w:val="24"/>
          <w:szCs w:val="24"/>
        </w:rPr>
        <w:t>VII. ĮSTAIGOS DALYVAVIMAS PROJEKTUOSE IR PROGRAMOSE</w:t>
      </w:r>
    </w:p>
    <w:p w:rsidR="00B6777A" w:rsidRDefault="00DC687C" w:rsidP="00D552BA">
      <w:pPr>
        <w:spacing w:after="0" w:line="36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DC687C">
        <w:rPr>
          <w:rFonts w:ascii="Times New Roman" w:hAnsi="Times New Roman" w:cs="Times New Roman"/>
          <w:sz w:val="24"/>
          <w:szCs w:val="24"/>
        </w:rPr>
        <w:t>Viešoji įstaiga „Gyvenimo namai sut</w:t>
      </w:r>
      <w:r w:rsidR="00143C55">
        <w:rPr>
          <w:rFonts w:ascii="Times New Roman" w:hAnsi="Times New Roman" w:cs="Times New Roman"/>
          <w:sz w:val="24"/>
          <w:szCs w:val="24"/>
        </w:rPr>
        <w:t>rikusio intelekto asmenims“ 2016</w:t>
      </w:r>
      <w:r w:rsidR="00E44D8B">
        <w:rPr>
          <w:rFonts w:ascii="Times New Roman" w:hAnsi="Times New Roman" w:cs="Times New Roman"/>
          <w:sz w:val="24"/>
          <w:szCs w:val="24"/>
        </w:rPr>
        <w:t xml:space="preserve"> metais vykdė </w:t>
      </w:r>
      <w:r w:rsidR="00B6777A" w:rsidRPr="00DC687C">
        <w:rPr>
          <w:rFonts w:ascii="Times New Roman" w:hAnsi="Times New Roman" w:cs="Times New Roman"/>
          <w:sz w:val="24"/>
          <w:szCs w:val="24"/>
        </w:rPr>
        <w:t>„Socialinės reabilitacijos paslaugų neįgaliesiems bendruomenėje“</w:t>
      </w:r>
      <w:r w:rsidR="00B6777A">
        <w:rPr>
          <w:rFonts w:ascii="Times New Roman" w:hAnsi="Times New Roman" w:cs="Times New Roman"/>
          <w:sz w:val="24"/>
          <w:szCs w:val="24"/>
        </w:rPr>
        <w:t xml:space="preserve"> projektą, dalyvavo</w:t>
      </w:r>
      <w:r w:rsidRPr="00DC687C">
        <w:rPr>
          <w:rFonts w:ascii="Times New Roman" w:hAnsi="Times New Roman" w:cs="Times New Roman"/>
          <w:sz w:val="24"/>
          <w:szCs w:val="24"/>
        </w:rPr>
        <w:t>: sutrikusio intelekto žmonių globos bendrijos „Kėdainių viltis“</w:t>
      </w:r>
      <w:r w:rsidR="00B6777A">
        <w:rPr>
          <w:rFonts w:ascii="Times New Roman" w:hAnsi="Times New Roman" w:cs="Times New Roman"/>
          <w:sz w:val="24"/>
          <w:szCs w:val="24"/>
        </w:rPr>
        <w:t xml:space="preserve"> vykdytame </w:t>
      </w:r>
      <w:r w:rsidRPr="00DC687C">
        <w:rPr>
          <w:rFonts w:ascii="Times New Roman" w:hAnsi="Times New Roman" w:cs="Times New Roman"/>
          <w:sz w:val="24"/>
          <w:szCs w:val="24"/>
        </w:rPr>
        <w:t xml:space="preserve"> </w:t>
      </w:r>
      <w:r w:rsidR="00B6777A">
        <w:rPr>
          <w:rFonts w:ascii="Times New Roman" w:hAnsi="Times New Roman" w:cs="Times New Roman"/>
          <w:sz w:val="24"/>
          <w:szCs w:val="24"/>
        </w:rPr>
        <w:t xml:space="preserve">neįgaliųjų socialinės integracijos per kūno kultūrą ir sportą projekte, Kėdainių rajono </w:t>
      </w:r>
      <w:r w:rsidR="00BC7257">
        <w:rPr>
          <w:rFonts w:ascii="Times New Roman" w:hAnsi="Times New Roman" w:cs="Times New Roman"/>
          <w:sz w:val="24"/>
          <w:szCs w:val="24"/>
        </w:rPr>
        <w:t>paraplegikų asociacijos „Mokysimės, dirbsime ir stiprėsime“</w:t>
      </w:r>
      <w:r w:rsidR="00B6777A">
        <w:rPr>
          <w:rFonts w:ascii="Times New Roman" w:hAnsi="Times New Roman" w:cs="Times New Roman"/>
          <w:sz w:val="24"/>
          <w:szCs w:val="24"/>
        </w:rPr>
        <w:t xml:space="preserve"> projekte.</w:t>
      </w:r>
    </w:p>
    <w:p w:rsidR="00DC687C" w:rsidRPr="00DC687C" w:rsidRDefault="00B6777A" w:rsidP="00D552BA">
      <w:pPr>
        <w:spacing w:after="0" w:line="36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Įstaigoje nuolat palaikomi ir plečiami ryšiai su socialiniais partneriais, palaikomas glaudus bendradarbiavimas su </w:t>
      </w:r>
      <w:r w:rsidR="00D552BA">
        <w:rPr>
          <w:rFonts w:ascii="Times New Roman" w:hAnsi="Times New Roman" w:cs="Times New Roman"/>
          <w:sz w:val="24"/>
          <w:szCs w:val="24"/>
        </w:rPr>
        <w:t>Kėdainių rajono savivaldybe, Kėdainių rajono savivaldybės administracij</w:t>
      </w:r>
      <w:r w:rsidR="007A46FE">
        <w:rPr>
          <w:rFonts w:ascii="Times New Roman" w:hAnsi="Times New Roman" w:cs="Times New Roman"/>
          <w:sz w:val="24"/>
          <w:szCs w:val="24"/>
        </w:rPr>
        <w:t xml:space="preserve">os socialinės paramos skyriumi, Kėdainių moterų LIONS klubu, </w:t>
      </w:r>
      <w:r w:rsidR="00DC687C" w:rsidRPr="00DC687C">
        <w:rPr>
          <w:rFonts w:ascii="Times New Roman" w:hAnsi="Times New Roman" w:cs="Times New Roman"/>
          <w:sz w:val="24"/>
          <w:szCs w:val="24"/>
        </w:rPr>
        <w:t>Kėdainių specialiąją mokykla, Raseinių neįgaliųjų dienos užimtumo centru,</w:t>
      </w:r>
      <w:r w:rsidR="0011226E">
        <w:rPr>
          <w:rFonts w:ascii="Times New Roman" w:hAnsi="Times New Roman" w:cs="Times New Roman"/>
          <w:sz w:val="24"/>
          <w:szCs w:val="24"/>
        </w:rPr>
        <w:t xml:space="preserve"> Kėdainių vaikų globos namais „Saulutė“,</w:t>
      </w:r>
      <w:r w:rsidR="00DC687C" w:rsidRPr="00DC687C">
        <w:rPr>
          <w:rFonts w:ascii="Times New Roman" w:hAnsi="Times New Roman" w:cs="Times New Roman"/>
          <w:sz w:val="24"/>
          <w:szCs w:val="24"/>
        </w:rPr>
        <w:t xml:space="preserve"> Kėdainių bendruomenės centro socialinių paslaugų neįgaliesiems padalinių, Klaipėdos </w:t>
      </w:r>
      <w:proofErr w:type="spellStart"/>
      <w:r w:rsidR="00DC687C" w:rsidRPr="00DC687C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="00DC687C" w:rsidRPr="00DC687C">
        <w:rPr>
          <w:rFonts w:ascii="Times New Roman" w:hAnsi="Times New Roman" w:cs="Times New Roman"/>
          <w:sz w:val="24"/>
          <w:szCs w:val="24"/>
        </w:rPr>
        <w:t xml:space="preserve"> „Gyvenimo namais“, labdaros ir paramos fondu „Maisto bankas“, „Viltis – Vikonda“, Kėdainių pirminės sveikatos priežiūros centru, Lietuvos sutrikusio intelekto žmonių globos bendrija „Viltis“, Kėdainių pirminių sveikatos priežiūros centru, Kėdainių psichikos sveikatos centru,</w:t>
      </w:r>
      <w:r w:rsidR="00D552BA">
        <w:rPr>
          <w:rFonts w:ascii="Times New Roman" w:hAnsi="Times New Roman" w:cs="Times New Roman"/>
          <w:sz w:val="24"/>
          <w:szCs w:val="24"/>
        </w:rPr>
        <w:t xml:space="preserve"> </w:t>
      </w:r>
      <w:r w:rsidR="00DC687C" w:rsidRPr="00DC687C">
        <w:rPr>
          <w:rFonts w:ascii="Times New Roman" w:hAnsi="Times New Roman" w:cs="Times New Roman"/>
          <w:sz w:val="24"/>
          <w:szCs w:val="24"/>
        </w:rPr>
        <w:t>Kėdainių rajono nevyriausybinėmis organizaci</w:t>
      </w:r>
      <w:r w:rsidR="007A46FE">
        <w:rPr>
          <w:rFonts w:ascii="Times New Roman" w:hAnsi="Times New Roman" w:cs="Times New Roman"/>
          <w:sz w:val="24"/>
          <w:szCs w:val="24"/>
        </w:rPr>
        <w:t>jomis, Kėdainių kultūros centru, laikraščiais „Kėdainių mugė“, „Rinkos aikštė“.</w:t>
      </w:r>
    </w:p>
    <w:p w:rsidR="00DC687C" w:rsidRDefault="00DC687C" w:rsidP="00DC687C">
      <w:pPr>
        <w:rPr>
          <w:rFonts w:ascii="Times New Roman" w:hAnsi="Times New Roman" w:cs="Times New Roman"/>
          <w:sz w:val="24"/>
          <w:szCs w:val="24"/>
        </w:rPr>
      </w:pPr>
    </w:p>
    <w:p w:rsidR="0061734A" w:rsidRDefault="0061734A" w:rsidP="00DC687C">
      <w:pPr>
        <w:rPr>
          <w:rFonts w:ascii="Times New Roman" w:hAnsi="Times New Roman" w:cs="Times New Roman"/>
          <w:sz w:val="24"/>
          <w:szCs w:val="24"/>
        </w:rPr>
      </w:pPr>
    </w:p>
    <w:p w:rsidR="0061734A" w:rsidRPr="00DC687C" w:rsidRDefault="0061734A" w:rsidP="00DC687C">
      <w:pPr>
        <w:rPr>
          <w:rFonts w:ascii="Times New Roman" w:hAnsi="Times New Roman" w:cs="Times New Roman"/>
          <w:sz w:val="24"/>
          <w:szCs w:val="24"/>
        </w:rPr>
      </w:pPr>
    </w:p>
    <w:p w:rsidR="00DC687C" w:rsidRPr="00DC687C" w:rsidRDefault="00DC687C" w:rsidP="00DC687C">
      <w:pPr>
        <w:tabs>
          <w:tab w:val="left" w:pos="2785"/>
        </w:tabs>
        <w:rPr>
          <w:rFonts w:ascii="Times New Roman" w:hAnsi="Times New Roman" w:cs="Times New Roman"/>
          <w:b/>
          <w:sz w:val="24"/>
          <w:szCs w:val="24"/>
        </w:rPr>
      </w:pPr>
      <w:r w:rsidRPr="00DC687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C687C">
        <w:rPr>
          <w:rFonts w:ascii="Times New Roman" w:hAnsi="Times New Roman" w:cs="Times New Roman"/>
          <w:b/>
          <w:sz w:val="24"/>
          <w:szCs w:val="24"/>
        </w:rPr>
        <w:t>VIII.</w:t>
      </w:r>
      <w:r w:rsidRPr="00DC687C">
        <w:rPr>
          <w:rFonts w:ascii="Times New Roman" w:hAnsi="Times New Roman" w:cs="Times New Roman"/>
          <w:sz w:val="24"/>
          <w:szCs w:val="24"/>
        </w:rPr>
        <w:t xml:space="preserve"> </w:t>
      </w:r>
      <w:r w:rsidRPr="00DC687C">
        <w:rPr>
          <w:rFonts w:ascii="Times New Roman" w:hAnsi="Times New Roman" w:cs="Times New Roman"/>
          <w:b/>
          <w:sz w:val="24"/>
          <w:szCs w:val="24"/>
        </w:rPr>
        <w:t>ĮSTAIGOS PROBLEMOS</w:t>
      </w:r>
    </w:p>
    <w:p w:rsidR="006707E3" w:rsidRDefault="006707E3" w:rsidP="0051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</w:t>
      </w:r>
      <w:r w:rsidR="00DC687C" w:rsidRPr="00DC68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Įstaiga neturi transporto, todėl kyla problemos pavežant neįgaliuosius į sveikatos priežiūros ir kitas viešąsias paslaugas teikiančias įstaigas.</w:t>
      </w:r>
    </w:p>
    <w:p w:rsidR="0051632A" w:rsidRDefault="006707E3" w:rsidP="0051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būdas</w:t>
      </w:r>
      <w:r w:rsidR="00DC687C" w:rsidRPr="00DC687C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2017 m. ieškoti lėšų ar rėmėjų sprendžiant šią problemą.</w:t>
      </w:r>
    </w:p>
    <w:p w:rsidR="0051632A" w:rsidRDefault="00827DE6" w:rsidP="0051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2A">
        <w:rPr>
          <w:rFonts w:ascii="Times New Roman" w:hAnsi="Times New Roman" w:cs="Times New Roman"/>
          <w:sz w:val="24"/>
          <w:szCs w:val="24"/>
        </w:rPr>
        <w:t xml:space="preserve">Problema: </w:t>
      </w:r>
      <w:r w:rsidR="004F0688" w:rsidRPr="0051632A">
        <w:rPr>
          <w:rFonts w:ascii="Times New Roman" w:hAnsi="Times New Roman" w:cs="Times New Roman"/>
          <w:sz w:val="24"/>
          <w:szCs w:val="24"/>
        </w:rPr>
        <w:t>Kėdainių bendruomenės socialinio centro klienta</w:t>
      </w:r>
      <w:r w:rsidR="0051632A" w:rsidRPr="0051632A">
        <w:rPr>
          <w:rFonts w:ascii="Times New Roman" w:hAnsi="Times New Roman" w:cs="Times New Roman"/>
          <w:sz w:val="24"/>
          <w:szCs w:val="24"/>
        </w:rPr>
        <w:t xml:space="preserve">i netelpa stovėjimo aikštelėje, </w:t>
      </w:r>
      <w:r w:rsidR="004F0688" w:rsidRPr="0051632A">
        <w:rPr>
          <w:rFonts w:ascii="Times New Roman" w:hAnsi="Times New Roman" w:cs="Times New Roman"/>
          <w:sz w:val="24"/>
          <w:szCs w:val="24"/>
        </w:rPr>
        <w:t>todėl transportas nuolat juda pro gyvenimo namų teritorija, o įstaigoje gyvena žmonės su proto negalia ir nėra užtikrinamas jų saugumas.</w:t>
      </w:r>
    </w:p>
    <w:p w:rsidR="00DC687C" w:rsidRPr="0051632A" w:rsidRDefault="00091A1F" w:rsidP="00516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2A">
        <w:rPr>
          <w:rFonts w:ascii="Times New Roman" w:hAnsi="Times New Roman" w:cs="Times New Roman"/>
          <w:sz w:val="24"/>
          <w:szCs w:val="24"/>
        </w:rPr>
        <w:t xml:space="preserve">Sprendimo būdas: 2017 m. bus kreipiamasi į Kėdainių rajono savivaldybės eismo saugumo komisija, kad būtų apribojamas mašinų srautas  </w:t>
      </w:r>
      <w:proofErr w:type="spellStart"/>
      <w:r w:rsidRPr="0051632A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51632A">
        <w:rPr>
          <w:rFonts w:ascii="Times New Roman" w:hAnsi="Times New Roman" w:cs="Times New Roman"/>
          <w:sz w:val="24"/>
          <w:szCs w:val="24"/>
        </w:rPr>
        <w:t xml:space="preserve"> „Gyvenimo namai sutrikusio intelekto asmenims“ teritorijoje.</w:t>
      </w:r>
    </w:p>
    <w:p w:rsidR="00091A1F" w:rsidRPr="00091A1F" w:rsidRDefault="00091A1F" w:rsidP="0051632A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87C" w:rsidRPr="00DC687C" w:rsidRDefault="00DC687C" w:rsidP="00DC687C">
      <w:pPr>
        <w:tabs>
          <w:tab w:val="left" w:pos="27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87C">
        <w:rPr>
          <w:rFonts w:ascii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        Asta </w:t>
      </w:r>
      <w:proofErr w:type="spellStart"/>
      <w:r w:rsidRPr="00DC687C">
        <w:rPr>
          <w:rFonts w:ascii="Times New Roman" w:hAnsi="Times New Roman" w:cs="Times New Roman"/>
          <w:sz w:val="24"/>
          <w:szCs w:val="24"/>
        </w:rPr>
        <w:t>Rekštienė</w:t>
      </w:r>
      <w:proofErr w:type="spellEnd"/>
    </w:p>
    <w:p w:rsidR="00DC687C" w:rsidRDefault="00DC687C" w:rsidP="00DC687C">
      <w:pPr>
        <w:tabs>
          <w:tab w:val="left" w:pos="4200"/>
        </w:tabs>
        <w:jc w:val="both"/>
        <w:rPr>
          <w:b/>
          <w:bCs/>
        </w:rPr>
      </w:pPr>
    </w:p>
    <w:p w:rsidR="002134CA" w:rsidRPr="00410D98" w:rsidRDefault="009726AF" w:rsidP="00410D98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2134CA" w:rsidRPr="00410D98" w:rsidSect="0061581C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6B9A"/>
    <w:multiLevelType w:val="multilevel"/>
    <w:tmpl w:val="5D7CB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D6218DE"/>
    <w:multiLevelType w:val="hybridMultilevel"/>
    <w:tmpl w:val="CDFE44F4"/>
    <w:lvl w:ilvl="0" w:tplc="0EDEB992">
      <w:start w:val="1"/>
      <w:numFmt w:val="upperRoman"/>
      <w:lvlText w:val="%1."/>
      <w:lvlJc w:val="left"/>
      <w:pPr>
        <w:ind w:left="229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5" w:hanging="360"/>
      </w:pPr>
    </w:lvl>
    <w:lvl w:ilvl="2" w:tplc="0427001B" w:tentative="1">
      <w:start w:val="1"/>
      <w:numFmt w:val="lowerRoman"/>
      <w:lvlText w:val="%3."/>
      <w:lvlJc w:val="right"/>
      <w:pPr>
        <w:ind w:left="3375" w:hanging="180"/>
      </w:pPr>
    </w:lvl>
    <w:lvl w:ilvl="3" w:tplc="0427000F" w:tentative="1">
      <w:start w:val="1"/>
      <w:numFmt w:val="decimal"/>
      <w:lvlText w:val="%4."/>
      <w:lvlJc w:val="left"/>
      <w:pPr>
        <w:ind w:left="4095" w:hanging="360"/>
      </w:pPr>
    </w:lvl>
    <w:lvl w:ilvl="4" w:tplc="04270019" w:tentative="1">
      <w:start w:val="1"/>
      <w:numFmt w:val="lowerLetter"/>
      <w:lvlText w:val="%5."/>
      <w:lvlJc w:val="left"/>
      <w:pPr>
        <w:ind w:left="4815" w:hanging="360"/>
      </w:pPr>
    </w:lvl>
    <w:lvl w:ilvl="5" w:tplc="0427001B" w:tentative="1">
      <w:start w:val="1"/>
      <w:numFmt w:val="lowerRoman"/>
      <w:lvlText w:val="%6."/>
      <w:lvlJc w:val="right"/>
      <w:pPr>
        <w:ind w:left="5535" w:hanging="180"/>
      </w:pPr>
    </w:lvl>
    <w:lvl w:ilvl="6" w:tplc="0427000F" w:tentative="1">
      <w:start w:val="1"/>
      <w:numFmt w:val="decimal"/>
      <w:lvlText w:val="%7."/>
      <w:lvlJc w:val="left"/>
      <w:pPr>
        <w:ind w:left="6255" w:hanging="360"/>
      </w:pPr>
    </w:lvl>
    <w:lvl w:ilvl="7" w:tplc="04270019" w:tentative="1">
      <w:start w:val="1"/>
      <w:numFmt w:val="lowerLetter"/>
      <w:lvlText w:val="%8."/>
      <w:lvlJc w:val="left"/>
      <w:pPr>
        <w:ind w:left="6975" w:hanging="360"/>
      </w:pPr>
    </w:lvl>
    <w:lvl w:ilvl="8" w:tplc="0427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>
    <w:nsid w:val="71D72071"/>
    <w:multiLevelType w:val="hybridMultilevel"/>
    <w:tmpl w:val="9A505C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81EF8"/>
    <w:multiLevelType w:val="hybridMultilevel"/>
    <w:tmpl w:val="6978B41A"/>
    <w:lvl w:ilvl="0" w:tplc="D83E3ED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FC1A37"/>
    <w:rsid w:val="000025A7"/>
    <w:rsid w:val="00047997"/>
    <w:rsid w:val="00091A1F"/>
    <w:rsid w:val="000B5B5A"/>
    <w:rsid w:val="000E3E80"/>
    <w:rsid w:val="00107EF4"/>
    <w:rsid w:val="0011226E"/>
    <w:rsid w:val="00143C55"/>
    <w:rsid w:val="001B51BD"/>
    <w:rsid w:val="00202340"/>
    <w:rsid w:val="00410D98"/>
    <w:rsid w:val="00437CBD"/>
    <w:rsid w:val="00480CF2"/>
    <w:rsid w:val="004C4AD3"/>
    <w:rsid w:val="004F0688"/>
    <w:rsid w:val="004F5B51"/>
    <w:rsid w:val="0051632A"/>
    <w:rsid w:val="0053795E"/>
    <w:rsid w:val="00584AB5"/>
    <w:rsid w:val="005C0736"/>
    <w:rsid w:val="005F49A7"/>
    <w:rsid w:val="0061581C"/>
    <w:rsid w:val="0061734A"/>
    <w:rsid w:val="00622C6F"/>
    <w:rsid w:val="006707E3"/>
    <w:rsid w:val="006971C0"/>
    <w:rsid w:val="006A6914"/>
    <w:rsid w:val="006C59B7"/>
    <w:rsid w:val="007249E9"/>
    <w:rsid w:val="007A46FE"/>
    <w:rsid w:val="00827DE6"/>
    <w:rsid w:val="00862D20"/>
    <w:rsid w:val="00925CE6"/>
    <w:rsid w:val="00960185"/>
    <w:rsid w:val="009726AF"/>
    <w:rsid w:val="009A38A4"/>
    <w:rsid w:val="009B47DB"/>
    <w:rsid w:val="009E5159"/>
    <w:rsid w:val="009F3D60"/>
    <w:rsid w:val="00B533AD"/>
    <w:rsid w:val="00B6777A"/>
    <w:rsid w:val="00B87740"/>
    <w:rsid w:val="00B93355"/>
    <w:rsid w:val="00BC7257"/>
    <w:rsid w:val="00BC7341"/>
    <w:rsid w:val="00BD50C1"/>
    <w:rsid w:val="00BE7072"/>
    <w:rsid w:val="00C177D8"/>
    <w:rsid w:val="00D552BA"/>
    <w:rsid w:val="00D91D2D"/>
    <w:rsid w:val="00DC687C"/>
    <w:rsid w:val="00E32537"/>
    <w:rsid w:val="00E44D8B"/>
    <w:rsid w:val="00EA77AD"/>
    <w:rsid w:val="00EC6A5A"/>
    <w:rsid w:val="00F01D94"/>
    <w:rsid w:val="00F457B2"/>
    <w:rsid w:val="00F61230"/>
    <w:rsid w:val="00FC1A37"/>
    <w:rsid w:val="00F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234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C1A37"/>
    <w:pPr>
      <w:ind w:left="720"/>
      <w:contextualSpacing/>
    </w:pPr>
  </w:style>
  <w:style w:type="paragraph" w:customStyle="1" w:styleId="prastasistinklapis1">
    <w:name w:val="Įprastasis (tinklapis)1"/>
    <w:basedOn w:val="prastasis"/>
    <w:rsid w:val="00FD1EBB"/>
    <w:pPr>
      <w:suppressAutoHyphens/>
      <w:spacing w:before="28" w:after="10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Sraopastraipa1">
    <w:name w:val="Sąrašo pastraipa1"/>
    <w:basedOn w:val="prastasis"/>
    <w:rsid w:val="00F01D94"/>
    <w:pPr>
      <w:suppressAutoHyphens/>
    </w:pPr>
    <w:rPr>
      <w:rFonts w:ascii="Calibri" w:eastAsia="Times New Roman" w:hAnsi="Calibri" w:cs="Calibri"/>
      <w:kern w:val="1"/>
      <w:lang w:eastAsia="ar-SA"/>
    </w:rPr>
  </w:style>
  <w:style w:type="table" w:styleId="Lentelstinklelis">
    <w:name w:val="Table Grid"/>
    <w:basedOn w:val="prastojilentel"/>
    <w:uiPriority w:val="59"/>
    <w:rsid w:val="00BD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410D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stiene.as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6134</Words>
  <Characters>3497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M58p</dc:creator>
  <cp:lastModifiedBy>Vartotojas</cp:lastModifiedBy>
  <cp:revision>22</cp:revision>
  <dcterms:created xsi:type="dcterms:W3CDTF">2017-02-06T06:27:00Z</dcterms:created>
  <dcterms:modified xsi:type="dcterms:W3CDTF">2017-04-03T06:37:00Z</dcterms:modified>
</cp:coreProperties>
</file>