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10" w:rsidRPr="00355510" w:rsidRDefault="00355510" w:rsidP="00355510">
      <w:pPr>
        <w:suppressAutoHyphens w:val="0"/>
        <w:spacing w:line="240" w:lineRule="auto"/>
        <w:ind w:firstLine="1296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                                                                  </w:t>
      </w:r>
      <w:r w:rsidRPr="00355510">
        <w:rPr>
          <w:rFonts w:eastAsia="Calibri"/>
          <w:kern w:val="0"/>
          <w:lang w:eastAsia="en-US"/>
        </w:rPr>
        <w:t>PRITARTA</w:t>
      </w:r>
    </w:p>
    <w:p w:rsidR="00355510" w:rsidRPr="00355510" w:rsidRDefault="00355510" w:rsidP="00355510">
      <w:pPr>
        <w:suppressAutoHyphens w:val="0"/>
        <w:spacing w:line="240" w:lineRule="auto"/>
        <w:ind w:firstLine="1296"/>
        <w:rPr>
          <w:rFonts w:eastAsia="Calibri"/>
          <w:kern w:val="0"/>
          <w:lang w:eastAsia="en-US"/>
        </w:rPr>
      </w:pPr>
      <w:r w:rsidRPr="00355510">
        <w:rPr>
          <w:rFonts w:eastAsia="Calibri"/>
          <w:kern w:val="0"/>
          <w:lang w:eastAsia="en-US"/>
        </w:rPr>
        <w:t xml:space="preserve">                                                                  Kėdainių rajono savivaldybės tarybos</w:t>
      </w:r>
    </w:p>
    <w:p w:rsidR="00355510" w:rsidRPr="00355510" w:rsidRDefault="00355510" w:rsidP="00355510">
      <w:pPr>
        <w:suppressAutoHyphens w:val="0"/>
        <w:spacing w:line="240" w:lineRule="auto"/>
        <w:ind w:firstLine="680"/>
        <w:rPr>
          <w:rFonts w:eastAsia="Calibri"/>
          <w:kern w:val="0"/>
          <w:lang w:eastAsia="en-US"/>
        </w:rPr>
      </w:pPr>
      <w:r w:rsidRPr="00355510">
        <w:rPr>
          <w:rFonts w:eastAsia="Calibri"/>
          <w:kern w:val="0"/>
          <w:lang w:eastAsia="en-US"/>
        </w:rPr>
        <w:tab/>
      </w:r>
      <w:r w:rsidRPr="00355510">
        <w:rPr>
          <w:rFonts w:eastAsia="Calibri"/>
          <w:kern w:val="0"/>
          <w:lang w:eastAsia="en-US"/>
        </w:rPr>
        <w:tab/>
      </w:r>
      <w:r w:rsidRPr="00355510">
        <w:rPr>
          <w:rFonts w:eastAsia="Calibri"/>
          <w:kern w:val="0"/>
          <w:lang w:eastAsia="en-US"/>
        </w:rPr>
        <w:tab/>
      </w:r>
      <w:r w:rsidRPr="00355510">
        <w:rPr>
          <w:rFonts w:eastAsia="Calibri"/>
          <w:kern w:val="0"/>
          <w:lang w:eastAsia="en-US"/>
        </w:rPr>
        <w:tab/>
        <w:t xml:space="preserve"> 2016 m. kovo </w:t>
      </w:r>
      <w:r w:rsidR="001D5F7A">
        <w:rPr>
          <w:rFonts w:eastAsia="Calibri"/>
          <w:kern w:val="0"/>
          <w:lang w:eastAsia="en-US"/>
        </w:rPr>
        <w:t>25</w:t>
      </w:r>
      <w:r w:rsidRPr="00355510">
        <w:rPr>
          <w:rFonts w:eastAsia="Calibri"/>
          <w:kern w:val="0"/>
          <w:lang w:eastAsia="en-US"/>
        </w:rPr>
        <w:t xml:space="preserve"> d.  sprendimo Nr. TS –</w:t>
      </w:r>
      <w:r w:rsidR="001D5F7A">
        <w:rPr>
          <w:rFonts w:eastAsia="Calibri"/>
          <w:kern w:val="0"/>
          <w:lang w:eastAsia="en-US"/>
        </w:rPr>
        <w:t>111</w:t>
      </w:r>
    </w:p>
    <w:p w:rsidR="00355510" w:rsidRDefault="00355510" w:rsidP="00355510">
      <w:pPr>
        <w:rPr>
          <w:b/>
        </w:rPr>
      </w:pPr>
    </w:p>
    <w:p w:rsidR="005B63A7" w:rsidRDefault="005B63A7" w:rsidP="005B63A7">
      <w:pPr>
        <w:jc w:val="center"/>
        <w:rPr>
          <w:b/>
        </w:rPr>
      </w:pPr>
      <w:r>
        <w:rPr>
          <w:b/>
        </w:rPr>
        <w:t xml:space="preserve">VIEŠOSIOS ĮSTAIGOS „GYVENIMO NAMŲ SUTRIKUSIO INTELEKTO ASMENIMS“ </w:t>
      </w:r>
    </w:p>
    <w:p w:rsidR="005B63A7" w:rsidRDefault="005B63A7" w:rsidP="005B63A7">
      <w:pPr>
        <w:jc w:val="center"/>
      </w:pPr>
      <w:r>
        <w:rPr>
          <w:b/>
        </w:rPr>
        <w:t>2015 METŲ VADOVO VEIKLOS ATASKAITA</w:t>
      </w:r>
    </w:p>
    <w:p w:rsidR="005B63A7" w:rsidRDefault="005B63A7" w:rsidP="005B63A7"/>
    <w:p w:rsidR="005B63A7" w:rsidRDefault="005B63A7" w:rsidP="005B63A7">
      <w:pPr>
        <w:pStyle w:val="Sraopastraipa1"/>
        <w:ind w:left="15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I.  BENDRA  INFORMACIJA</w:t>
      </w:r>
    </w:p>
    <w:p w:rsidR="005B63A7" w:rsidRDefault="005B63A7" w:rsidP="005B63A7">
      <w:pPr>
        <w:jc w:val="both"/>
        <w:rPr>
          <w:b/>
        </w:rPr>
      </w:pPr>
    </w:p>
    <w:p w:rsidR="005B63A7" w:rsidRDefault="005B63A7" w:rsidP="00355510">
      <w:pPr>
        <w:spacing w:line="360" w:lineRule="auto"/>
        <w:ind w:firstLine="709"/>
        <w:jc w:val="both"/>
      </w:pPr>
      <w:r>
        <w:t xml:space="preserve">Viešoji įstaiga „Gyvenimo namai sutrikusio intelekto asmenims“ buvo įregistruota Valstybės įmonės Registrų centro Juridinių asmenų registre 2010 m. birželio 3 d. </w:t>
      </w:r>
    </w:p>
    <w:p w:rsidR="005B63A7" w:rsidRDefault="005B63A7" w:rsidP="00355510">
      <w:pPr>
        <w:spacing w:line="360" w:lineRule="auto"/>
        <w:ind w:firstLine="709"/>
        <w:jc w:val="both"/>
      </w:pPr>
      <w:r>
        <w:t xml:space="preserve">Įstaigos kodas – 302518681. </w:t>
      </w:r>
    </w:p>
    <w:p w:rsidR="005B63A7" w:rsidRDefault="005B63A7" w:rsidP="00355510">
      <w:pPr>
        <w:spacing w:line="360" w:lineRule="auto"/>
        <w:ind w:firstLine="709"/>
        <w:jc w:val="both"/>
      </w:pPr>
      <w:r>
        <w:t>Įstaigos adresas:  P. Lukšio g. 16, LT-57202 Kėdainiai.</w:t>
      </w:r>
    </w:p>
    <w:p w:rsidR="005B63A7" w:rsidRDefault="005B63A7" w:rsidP="00355510">
      <w:pPr>
        <w:spacing w:line="360" w:lineRule="auto"/>
        <w:ind w:firstLine="709"/>
        <w:jc w:val="both"/>
        <w:rPr>
          <w:b/>
        </w:rPr>
      </w:pPr>
      <w:r>
        <w:t>Tel./faks. (8 347) 50 615</w:t>
      </w:r>
    </w:p>
    <w:p w:rsidR="005B63A7" w:rsidRDefault="005B63A7" w:rsidP="00355510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VIZIJA: </w:t>
      </w:r>
      <w:r>
        <w:t>Visuomenės poreikius tenkinanti įstaiga asmenims su proto negalia. Namai, sugebantys sudaryti gyvenimo sąlygas, artimas šeimos aplinkai ir gebantis rūpintis asmenimis su proto negalia, tenkinantys jų buitinius, socialinius poreikius.</w:t>
      </w:r>
    </w:p>
    <w:p w:rsidR="005B63A7" w:rsidRDefault="005B63A7" w:rsidP="00355510">
      <w:pPr>
        <w:spacing w:line="360" w:lineRule="auto"/>
        <w:ind w:firstLine="709"/>
        <w:jc w:val="both"/>
      </w:pPr>
      <w:r>
        <w:rPr>
          <w:b/>
        </w:rPr>
        <w:t xml:space="preserve">MISIJA: </w:t>
      </w:r>
      <w:r>
        <w:t xml:space="preserve">Įgyvendinti efektyvią socialinės pagalbos sistemą, užtikrinančią įstaigos gyventojų socialinį saugumą bei integraciją į visuomenę. </w:t>
      </w:r>
    </w:p>
    <w:p w:rsidR="0097363A" w:rsidRDefault="0097363A" w:rsidP="00355510">
      <w:pPr>
        <w:spacing w:line="360" w:lineRule="auto"/>
        <w:ind w:firstLine="709"/>
        <w:jc w:val="both"/>
      </w:pPr>
    </w:p>
    <w:p w:rsidR="005B63A7" w:rsidRDefault="005B63A7" w:rsidP="00355510">
      <w:pPr>
        <w:spacing w:line="360" w:lineRule="auto"/>
        <w:ind w:firstLine="709"/>
        <w:jc w:val="center"/>
      </w:pPr>
      <w:r>
        <w:rPr>
          <w:b/>
        </w:rPr>
        <w:t>II. VIEŠOSIOS ĮSTAIGOS DALININKAI</w:t>
      </w:r>
    </w:p>
    <w:p w:rsidR="00355510" w:rsidRDefault="005B63A7" w:rsidP="00355510">
      <w:pPr>
        <w:spacing w:line="360" w:lineRule="auto"/>
        <w:ind w:firstLine="709"/>
      </w:pPr>
      <w:r>
        <w:t>Viešosios įstaigos steigėjai – Kėdainių rajono savivaldybė, Sutrikusio intelekto žmonių globos bendrija „Kėdainių viltis“, Lietuvos sutrikusio intelekto žmonių globos bendrija „Viltis“.</w:t>
      </w:r>
    </w:p>
    <w:p w:rsidR="005B63A7" w:rsidRDefault="005B63A7" w:rsidP="00355510">
      <w:pPr>
        <w:spacing w:line="360" w:lineRule="auto"/>
        <w:ind w:firstLine="709"/>
      </w:pPr>
      <w:r>
        <w:t xml:space="preserve">Viešosios įstaigos dalininkai : </w:t>
      </w:r>
    </w:p>
    <w:p w:rsidR="005B63A7" w:rsidRDefault="005B63A7" w:rsidP="00355510">
      <w:pPr>
        <w:spacing w:line="360" w:lineRule="auto"/>
        <w:ind w:firstLine="709"/>
        <w:jc w:val="both"/>
      </w:pPr>
      <w:r>
        <w:t>Kėdainių rajono savivaldybė, kurios dalininko įnašas viešo</w:t>
      </w:r>
      <w:r w:rsidR="00BB7D43">
        <w:t>sios įstaigos kapitale – 0,33 euro</w:t>
      </w:r>
      <w:r>
        <w:t xml:space="preserve">, </w:t>
      </w:r>
    </w:p>
    <w:p w:rsidR="005B63A7" w:rsidRDefault="005B63A7" w:rsidP="00355510">
      <w:pPr>
        <w:spacing w:line="360" w:lineRule="auto"/>
        <w:ind w:firstLine="709"/>
        <w:jc w:val="both"/>
      </w:pPr>
      <w:r>
        <w:t>Sutrikusio intelekto žmonių globos bendrija „Kėdainių viltis“, kurios įnašas</w:t>
      </w:r>
      <w:r w:rsidR="00BB7D43">
        <w:t xml:space="preserve"> viešosios įstaigos kapitale – 0,33 euro</w:t>
      </w:r>
      <w:r>
        <w:t xml:space="preserve">, </w:t>
      </w:r>
    </w:p>
    <w:p w:rsidR="005B63A7" w:rsidRDefault="005B63A7" w:rsidP="00355510">
      <w:pPr>
        <w:spacing w:line="360" w:lineRule="auto"/>
        <w:ind w:firstLine="709"/>
        <w:jc w:val="both"/>
      </w:pPr>
      <w:r>
        <w:t xml:space="preserve">Lietuvos sutrikusio intelekto žmonių globos bendrija „Viltis“, kurios įnašas viešosios įstaigos kapitale – </w:t>
      </w:r>
      <w:r w:rsidR="00BB7D43">
        <w:t>0,33 euro.</w:t>
      </w:r>
    </w:p>
    <w:p w:rsidR="005B63A7" w:rsidRDefault="005B63A7" w:rsidP="00355510">
      <w:pPr>
        <w:pStyle w:val="prastasistinklapis1"/>
        <w:tabs>
          <w:tab w:val="left" w:pos="1440"/>
        </w:tabs>
        <w:spacing w:after="0" w:line="360" w:lineRule="auto"/>
        <w:ind w:firstLine="709"/>
        <w:jc w:val="both"/>
      </w:pPr>
      <w:r>
        <w:t xml:space="preserve">Visuotinis dalininkų susirinkimas – aukščiausias Įstaigos valdymo organas. </w:t>
      </w:r>
    </w:p>
    <w:p w:rsidR="005B63A7" w:rsidRDefault="005B63A7" w:rsidP="00355510">
      <w:pPr>
        <w:pStyle w:val="prastasistinklapis1"/>
        <w:tabs>
          <w:tab w:val="left" w:pos="1440"/>
        </w:tabs>
        <w:spacing w:after="0" w:line="360" w:lineRule="auto"/>
        <w:ind w:firstLine="709"/>
        <w:jc w:val="both"/>
      </w:pPr>
      <w:r>
        <w:t>Visuotinis dalininkų susirinkimas vykdo Įstatuose nurodytas funkcijas.</w:t>
      </w:r>
    </w:p>
    <w:p w:rsidR="0097363A" w:rsidRDefault="0097363A" w:rsidP="00355510">
      <w:pPr>
        <w:pStyle w:val="prastasistinklapis1"/>
        <w:tabs>
          <w:tab w:val="left" w:pos="1440"/>
        </w:tabs>
        <w:spacing w:after="0" w:line="360" w:lineRule="auto"/>
        <w:ind w:firstLine="709"/>
        <w:jc w:val="both"/>
      </w:pPr>
    </w:p>
    <w:p w:rsidR="005B63A7" w:rsidRDefault="005B63A7" w:rsidP="00355510">
      <w:pPr>
        <w:tabs>
          <w:tab w:val="left" w:pos="840"/>
        </w:tabs>
        <w:ind w:firstLine="709"/>
        <w:jc w:val="center"/>
        <w:rPr>
          <w:b/>
          <w:bCs/>
        </w:rPr>
      </w:pPr>
      <w:r>
        <w:rPr>
          <w:b/>
          <w:bCs/>
        </w:rPr>
        <w:t>III. ĮSTAIGOS VEIKLOS TIKSLAI, POBŪDIS, VEIKLOS REZULTATAI</w:t>
      </w:r>
    </w:p>
    <w:p w:rsidR="005B63A7" w:rsidRDefault="005B63A7" w:rsidP="00355510">
      <w:pPr>
        <w:tabs>
          <w:tab w:val="left" w:pos="840"/>
        </w:tabs>
        <w:ind w:firstLine="709"/>
        <w:jc w:val="center"/>
        <w:rPr>
          <w:b/>
          <w:bCs/>
        </w:rPr>
      </w:pPr>
    </w:p>
    <w:p w:rsidR="005B63A7" w:rsidRDefault="005B63A7" w:rsidP="00355510">
      <w:pPr>
        <w:tabs>
          <w:tab w:val="left" w:pos="840"/>
        </w:tabs>
        <w:spacing w:line="360" w:lineRule="auto"/>
        <w:ind w:firstLine="709"/>
        <w:jc w:val="both"/>
        <w:rPr>
          <w:b/>
          <w:bCs/>
        </w:rPr>
      </w:pPr>
      <w:r>
        <w:rPr>
          <w:bCs/>
        </w:rPr>
        <w:t>Įstaigos veiklos</w:t>
      </w:r>
      <w:r>
        <w:rPr>
          <w:b/>
          <w:bCs/>
        </w:rPr>
        <w:t xml:space="preserve"> kryptys – </w:t>
      </w:r>
      <w:r>
        <w:rPr>
          <w:bCs/>
        </w:rPr>
        <w:t xml:space="preserve">žmonių su proto negalia apgyvendinimas, savarankiškumo įgūdžių formavimas ir jų įtvirtinimas, užimtumo organizavimas. </w:t>
      </w:r>
    </w:p>
    <w:p w:rsidR="001F6960" w:rsidRPr="00A16402" w:rsidRDefault="001F6960" w:rsidP="00355510">
      <w:pPr>
        <w:ind w:firstLine="709"/>
        <w:jc w:val="both"/>
      </w:pPr>
    </w:p>
    <w:p w:rsidR="001F6960" w:rsidRPr="001B2576" w:rsidRDefault="001F6960" w:rsidP="00355510">
      <w:pPr>
        <w:tabs>
          <w:tab w:val="left" w:pos="840"/>
        </w:tabs>
        <w:spacing w:line="360" w:lineRule="auto"/>
        <w:ind w:firstLine="709"/>
        <w:jc w:val="both"/>
        <w:rPr>
          <w:bCs/>
        </w:rPr>
      </w:pPr>
      <w:r w:rsidRPr="001E70BF">
        <w:rPr>
          <w:b/>
          <w:bCs/>
        </w:rPr>
        <w:lastRenderedPageBreak/>
        <w:t>Tikslas</w:t>
      </w:r>
      <w:r>
        <w:rPr>
          <w:b/>
          <w:bCs/>
        </w:rPr>
        <w:t xml:space="preserve"> – </w:t>
      </w:r>
      <w:r w:rsidRPr="001B2576">
        <w:rPr>
          <w:bCs/>
        </w:rPr>
        <w:t>teikti neįgaliesiems nuolatinio pobūdžio paslaugas, kurios atkurtų ar palaikytų neįgaliųjų socialinius ir savarankiško gyvenimo įgūdžius, didintų savarankiškumą ir užimtumą bei galimybes dalyvauti visuomenės gyvenime.</w:t>
      </w:r>
    </w:p>
    <w:p w:rsidR="001F6960" w:rsidRDefault="001F6960" w:rsidP="00355510">
      <w:pPr>
        <w:tabs>
          <w:tab w:val="left" w:pos="4200"/>
        </w:tabs>
        <w:spacing w:line="360" w:lineRule="auto"/>
        <w:ind w:firstLine="709"/>
        <w:jc w:val="both"/>
        <w:rPr>
          <w:rFonts w:cs="Calibri"/>
        </w:rPr>
      </w:pPr>
      <w:r>
        <w:t xml:space="preserve">Įgyvendinant 2015 metų programą buvo užtikrinta nuolatinė įstaigos veikla: teikiamos </w:t>
      </w:r>
      <w:r w:rsidR="00932416">
        <w:t xml:space="preserve">apgyvendinimo, </w:t>
      </w:r>
      <w:r>
        <w:t>asmeninio asistento</w:t>
      </w:r>
      <w:r w:rsidR="00932416">
        <w:t xml:space="preserve">, kasdieninio gyvenimo įgūdžių ugdymo ir palaikymo, darbinių įgūdžių ugdymo, </w:t>
      </w:r>
      <w:r>
        <w:t xml:space="preserve"> </w:t>
      </w:r>
      <w:r w:rsidR="00932416">
        <w:t>laisvalaikio organizavimo, maitinimo, asmens higienos ir kitos paslaugos.</w:t>
      </w:r>
    </w:p>
    <w:p w:rsidR="001F6960" w:rsidRDefault="001F6960" w:rsidP="00355510">
      <w:pPr>
        <w:spacing w:line="360" w:lineRule="auto"/>
        <w:ind w:firstLine="709"/>
        <w:jc w:val="both"/>
      </w:pPr>
      <w:r>
        <w:rPr>
          <w:rFonts w:cs="Calibri"/>
        </w:rPr>
        <w:t>Socialinis darbas orientuotas į produktyvių bei kokybiškų paslaugų teikimą čia gyvenantiems neįgaliesiems. Nuoširdžiu bendravimu kuriama draugiška atmosfera, įgyjamas gyventojų pasitikėjimas. Gyventojams sudarytos visos sąlygos gyventi kasdienį gyvenimą atsižvelgiant į jų sveikatos būklę ir savarankiškumo lygį. Įgytas savarankiškumas nuolat palaikomas ir skatinamas. Gyvenimo namų klientų socializacijos procese vyksta teigiami pokyčiai, ypač kasdieninio apsitarnavimo, asmeninės higienos ir savarankiškumo srityse.</w:t>
      </w:r>
    </w:p>
    <w:p w:rsidR="00BB7D43" w:rsidRPr="009B5965" w:rsidRDefault="00BB7D43" w:rsidP="00355510">
      <w:pPr>
        <w:spacing w:line="360" w:lineRule="auto"/>
        <w:ind w:firstLine="709"/>
        <w:jc w:val="both"/>
      </w:pPr>
      <w:r>
        <w:t>Gyvenimo namų klientams yra sudarytos palankios, žmogaus orumo nežeminančios ir artimos namų aplinkai gyvenimo sąlygos. Gyventojai gyvena vienviečiuose ir dviviečiuose</w:t>
      </w:r>
      <w:r w:rsidR="009B5965">
        <w:t>, triviečiuose</w:t>
      </w:r>
      <w:r>
        <w:t xml:space="preserve"> kambariuose. Visiems namų gyventojams paslaugos teikiamos ištisus metus. </w:t>
      </w:r>
      <w:r w:rsidR="009B5965">
        <w:t>Namų gyventojams organizuojamos išvykos į ekskursijas, koncertus.</w:t>
      </w:r>
    </w:p>
    <w:p w:rsidR="00932416" w:rsidRDefault="00932416" w:rsidP="00355510">
      <w:pPr>
        <w:tabs>
          <w:tab w:val="left" w:pos="4200"/>
        </w:tabs>
        <w:spacing w:line="360" w:lineRule="auto"/>
        <w:ind w:firstLine="709"/>
        <w:jc w:val="both"/>
      </w:pPr>
    </w:p>
    <w:p w:rsidR="00932416" w:rsidRDefault="00932416" w:rsidP="00355510">
      <w:pPr>
        <w:tabs>
          <w:tab w:val="left" w:pos="840"/>
        </w:tabs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IV. ŽMOGIŠKŲJŲ IŠTEKLIŲ VALDYMAS</w:t>
      </w:r>
    </w:p>
    <w:p w:rsidR="00932416" w:rsidRDefault="00932416" w:rsidP="00355510">
      <w:pPr>
        <w:tabs>
          <w:tab w:val="left" w:pos="840"/>
        </w:tabs>
        <w:spacing w:line="360" w:lineRule="auto"/>
        <w:ind w:firstLine="709"/>
        <w:jc w:val="center"/>
        <w:rPr>
          <w:b/>
          <w:bCs/>
        </w:rPr>
      </w:pPr>
    </w:p>
    <w:p w:rsidR="00932416" w:rsidRDefault="00932416" w:rsidP="00355510">
      <w:pPr>
        <w:tabs>
          <w:tab w:val="left" w:pos="4200"/>
        </w:tabs>
        <w:spacing w:line="360" w:lineRule="auto"/>
        <w:ind w:firstLine="709"/>
        <w:jc w:val="both"/>
      </w:pPr>
      <w:proofErr w:type="spellStart"/>
      <w:r>
        <w:t>VšĮ</w:t>
      </w:r>
      <w:proofErr w:type="spellEnd"/>
      <w:r>
        <w:t xml:space="preserve"> „Gyvenimo namuose sutrikusio intelekto asmenims“ 2015 metais gyveno 20 neįgaliųjų, virš 18 metų, turinčių nuo 20 iki 50 proc. darbingumo lygio.  </w:t>
      </w:r>
    </w:p>
    <w:p w:rsidR="00932416" w:rsidRDefault="00932416" w:rsidP="00355510">
      <w:pPr>
        <w:tabs>
          <w:tab w:val="left" w:pos="4200"/>
        </w:tabs>
        <w:spacing w:line="360" w:lineRule="auto"/>
        <w:ind w:firstLine="709"/>
        <w:jc w:val="both"/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230"/>
        <w:gridCol w:w="3540"/>
        <w:gridCol w:w="2475"/>
        <w:gridCol w:w="2368"/>
      </w:tblGrid>
      <w:tr w:rsidR="00932416" w:rsidTr="006C4E79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>Metai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>Neįgalus asmenys su proto negalia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  <w:rPr>
                <w:bCs/>
              </w:rPr>
            </w:pPr>
            <w:r>
              <w:rPr>
                <w:bCs/>
              </w:rPr>
              <w:t>Vyrai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</w:pPr>
            <w:r>
              <w:rPr>
                <w:bCs/>
              </w:rPr>
              <w:t>Moteris</w:t>
            </w:r>
          </w:p>
        </w:tc>
      </w:tr>
      <w:tr w:rsidR="00932416" w:rsidTr="006C4E79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rPr>
                <w:bCs/>
              </w:rPr>
            </w:pPr>
            <w:r>
              <w:rPr>
                <w:bCs/>
              </w:rPr>
              <w:t>2015 m.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</w:pPr>
            <w:r>
              <w:rPr>
                <w:bCs/>
              </w:rPr>
              <w:t>9</w:t>
            </w:r>
          </w:p>
        </w:tc>
      </w:tr>
      <w:tr w:rsidR="00932416" w:rsidTr="006C4E79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snapToGrid w:val="0"/>
              <w:ind w:firstLine="709"/>
              <w:jc w:val="both"/>
              <w:rPr>
                <w:bCs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>Iš jų našlaičiai: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16" w:rsidRDefault="00932416" w:rsidP="00355510">
            <w:pPr>
              <w:tabs>
                <w:tab w:val="left" w:pos="840"/>
              </w:tabs>
              <w:ind w:firstLine="709"/>
              <w:jc w:val="center"/>
            </w:pPr>
            <w:r>
              <w:rPr>
                <w:bCs/>
              </w:rPr>
              <w:t>5</w:t>
            </w:r>
          </w:p>
        </w:tc>
      </w:tr>
    </w:tbl>
    <w:p w:rsidR="00932416" w:rsidRDefault="00932416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510" w:rsidRDefault="00932416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Įstaigoje ataskaitinių metų pradžioje dirbo 2 darbuotojai pagal darbo sutartį, iš jų direktorius (1 eta</w:t>
      </w:r>
      <w:r w:rsidR="00D2627B">
        <w:rPr>
          <w:rFonts w:ascii="Times New Roman" w:hAnsi="Times New Roman" w:cs="Times New Roman"/>
          <w:sz w:val="24"/>
          <w:szCs w:val="24"/>
        </w:rPr>
        <w:t>tas), finansininkas (0,5 etato).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510" w:rsidRDefault="00932416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Darbuotojų išsilavinimas:  aukštasis universitetinis – 2.</w:t>
      </w:r>
    </w:p>
    <w:p w:rsid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Organizacinę struktūrą būtų galima apibūdinti taip:</w:t>
      </w:r>
    </w:p>
    <w:p w:rsid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– direktorius atsakingas už įstaigos valdymą ir finansinę veiklą;</w:t>
      </w:r>
    </w:p>
    <w:p w:rsid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– finansininkas atsakingas už įstaigos finansinę veiklą ir atskaitomybę;</w:t>
      </w:r>
    </w:p>
    <w:p w:rsid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Darbuotojų kvalifikacijos tobulinimas:</w:t>
      </w:r>
    </w:p>
    <w:p w:rsid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t>Direktorė dalyvavo darbuotojų tobulinimo kursuose ir išklausė 86 val.</w:t>
      </w:r>
    </w:p>
    <w:p w:rsidR="0085447E" w:rsidRPr="00355510" w:rsidRDefault="006A7155" w:rsidP="00355510">
      <w:pPr>
        <w:pStyle w:val="Sraopastraipa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10">
        <w:rPr>
          <w:rFonts w:ascii="Times New Roman" w:hAnsi="Times New Roman" w:cs="Times New Roman"/>
          <w:sz w:val="24"/>
          <w:szCs w:val="24"/>
        </w:rPr>
        <w:lastRenderedPageBreak/>
        <w:t>Kitas įstaigoje dirbantis personalas yra įdarbintas sutrikusio intelekto žmonių globos bendrijoje „Kėdainių viltis“. 2015 m. 5 darbuotojos dalyvavo darbuotojų tobul</w:t>
      </w:r>
      <w:r w:rsidR="00355510">
        <w:rPr>
          <w:rFonts w:ascii="Times New Roman" w:hAnsi="Times New Roman" w:cs="Times New Roman"/>
          <w:sz w:val="24"/>
          <w:szCs w:val="24"/>
        </w:rPr>
        <w:t xml:space="preserve">inimo kursuose ir išklausė po  </w:t>
      </w:r>
      <w:r w:rsidRPr="00355510">
        <w:rPr>
          <w:rFonts w:ascii="Times New Roman" w:hAnsi="Times New Roman" w:cs="Times New Roman"/>
          <w:sz w:val="24"/>
          <w:szCs w:val="24"/>
        </w:rPr>
        <w:t xml:space="preserve">80 ak. val. </w:t>
      </w:r>
    </w:p>
    <w:p w:rsidR="0058714B" w:rsidRDefault="0058714B" w:rsidP="00355510">
      <w:pPr>
        <w:tabs>
          <w:tab w:val="left" w:pos="4200"/>
        </w:tabs>
        <w:spacing w:line="360" w:lineRule="auto"/>
        <w:ind w:firstLine="709"/>
        <w:jc w:val="center"/>
      </w:pPr>
      <w:r>
        <w:rPr>
          <w:b/>
        </w:rPr>
        <w:t>V. FINANSINIŲ IŠTEKLIŲ VALDYMAS</w:t>
      </w:r>
    </w:p>
    <w:p w:rsidR="0058714B" w:rsidRDefault="0058714B" w:rsidP="00355510">
      <w:pPr>
        <w:tabs>
          <w:tab w:val="left" w:pos="3465"/>
        </w:tabs>
        <w:ind w:firstLine="709"/>
        <w:jc w:val="center"/>
      </w:pPr>
      <w:r>
        <w:t>Finansavimo šaltiniai 2015 m.</w:t>
      </w:r>
    </w:p>
    <w:p w:rsidR="0058714B" w:rsidRDefault="0058714B" w:rsidP="00355510">
      <w:pPr>
        <w:tabs>
          <w:tab w:val="left" w:pos="3465"/>
        </w:tabs>
        <w:ind w:firstLine="709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857"/>
        <w:gridCol w:w="2694"/>
        <w:gridCol w:w="1580"/>
        <w:gridCol w:w="1533"/>
        <w:gridCol w:w="1539"/>
        <w:gridCol w:w="1543"/>
      </w:tblGrid>
      <w:tr w:rsidR="00350F05" w:rsidTr="00355510">
        <w:trPr>
          <w:trHeight w:val="132"/>
        </w:trPr>
        <w:tc>
          <w:tcPr>
            <w:tcW w:w="763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Eil.Nr.</w:t>
            </w:r>
          </w:p>
        </w:tc>
        <w:tc>
          <w:tcPr>
            <w:tcW w:w="2735" w:type="dxa"/>
          </w:tcPr>
          <w:p w:rsidR="00350F05" w:rsidRPr="00416753" w:rsidRDefault="00350F05" w:rsidP="00355510">
            <w:pPr>
              <w:ind w:firstLine="709"/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Lėšų šaltiniai</w:t>
            </w:r>
          </w:p>
        </w:tc>
        <w:tc>
          <w:tcPr>
            <w:tcW w:w="1596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Lėšų likutis metų pradžioje</w:t>
            </w:r>
            <w:r w:rsidR="004A3223">
              <w:rPr>
                <w:sz w:val="24"/>
                <w:szCs w:val="24"/>
              </w:rPr>
              <w:t xml:space="preserve"> </w:t>
            </w:r>
            <w:proofErr w:type="spellStart"/>
            <w:r w:rsidR="004A3223">
              <w:rPr>
                <w:sz w:val="24"/>
                <w:szCs w:val="24"/>
              </w:rPr>
              <w:t>tūks</w:t>
            </w:r>
            <w:proofErr w:type="spellEnd"/>
            <w:r w:rsidR="004A3223">
              <w:rPr>
                <w:sz w:val="24"/>
                <w:szCs w:val="24"/>
              </w:rPr>
              <w:t>.</w:t>
            </w:r>
            <w:r w:rsidR="00355510">
              <w:rPr>
                <w:sz w:val="24"/>
                <w:szCs w:val="24"/>
              </w:rPr>
              <w:t xml:space="preserve"> </w:t>
            </w:r>
            <w:r w:rsidR="004A3223" w:rsidRPr="00416753">
              <w:rPr>
                <w:sz w:val="24"/>
                <w:szCs w:val="24"/>
              </w:rPr>
              <w:t>(</w:t>
            </w:r>
            <w:proofErr w:type="spellStart"/>
            <w:r w:rsidR="004A3223" w:rsidRPr="00416753">
              <w:rPr>
                <w:sz w:val="24"/>
                <w:szCs w:val="24"/>
              </w:rPr>
              <w:t>Eur</w:t>
            </w:r>
            <w:proofErr w:type="spellEnd"/>
            <w:r w:rsidR="004A3223" w:rsidRPr="00416753">
              <w:rPr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 xml:space="preserve">Gauta </w:t>
            </w:r>
            <w:proofErr w:type="spellStart"/>
            <w:r w:rsidR="004A3223">
              <w:rPr>
                <w:sz w:val="24"/>
                <w:szCs w:val="24"/>
              </w:rPr>
              <w:t>tūks.</w:t>
            </w:r>
            <w:r w:rsidRPr="00416753">
              <w:rPr>
                <w:sz w:val="24"/>
                <w:szCs w:val="24"/>
              </w:rPr>
              <w:t>(Eur</w:t>
            </w:r>
            <w:proofErr w:type="spellEnd"/>
            <w:r w:rsidRPr="00416753">
              <w:rPr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 xml:space="preserve">Išlaidos </w:t>
            </w:r>
            <w:proofErr w:type="spellStart"/>
            <w:r w:rsidR="004A3223">
              <w:rPr>
                <w:sz w:val="24"/>
                <w:szCs w:val="24"/>
              </w:rPr>
              <w:t>tūks.</w:t>
            </w:r>
            <w:r w:rsidRPr="00416753">
              <w:rPr>
                <w:sz w:val="24"/>
                <w:szCs w:val="24"/>
              </w:rPr>
              <w:t>(Eur</w:t>
            </w:r>
            <w:proofErr w:type="spellEnd"/>
            <w:r w:rsidRPr="00416753">
              <w:rPr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Lėšų likutis metų pabaigoje</w:t>
            </w:r>
            <w:r w:rsidR="004A3223">
              <w:rPr>
                <w:sz w:val="24"/>
                <w:szCs w:val="24"/>
              </w:rPr>
              <w:t xml:space="preserve"> </w:t>
            </w:r>
            <w:proofErr w:type="spellStart"/>
            <w:r w:rsidR="004A3223">
              <w:rPr>
                <w:sz w:val="24"/>
                <w:szCs w:val="24"/>
              </w:rPr>
              <w:t>tūks</w:t>
            </w:r>
            <w:proofErr w:type="spellEnd"/>
            <w:r w:rsidR="004A3223">
              <w:rPr>
                <w:sz w:val="24"/>
                <w:szCs w:val="24"/>
              </w:rPr>
              <w:t>.</w:t>
            </w:r>
            <w:r w:rsidR="00355510">
              <w:rPr>
                <w:sz w:val="24"/>
                <w:szCs w:val="24"/>
              </w:rPr>
              <w:t xml:space="preserve"> </w:t>
            </w:r>
            <w:r w:rsidR="004A3223" w:rsidRPr="00416753">
              <w:rPr>
                <w:sz w:val="24"/>
                <w:szCs w:val="24"/>
              </w:rPr>
              <w:t>(</w:t>
            </w:r>
            <w:proofErr w:type="spellStart"/>
            <w:r w:rsidR="004A3223" w:rsidRPr="00416753">
              <w:rPr>
                <w:sz w:val="24"/>
                <w:szCs w:val="24"/>
              </w:rPr>
              <w:t>Eur</w:t>
            </w:r>
            <w:proofErr w:type="spellEnd"/>
            <w:r w:rsidR="004A3223" w:rsidRPr="00416753">
              <w:rPr>
                <w:sz w:val="24"/>
                <w:szCs w:val="24"/>
              </w:rPr>
              <w:t>)</w:t>
            </w:r>
          </w:p>
        </w:tc>
      </w:tr>
      <w:tr w:rsidR="00350F05" w:rsidRPr="00416753" w:rsidTr="00355510">
        <w:tc>
          <w:tcPr>
            <w:tcW w:w="763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1.</w:t>
            </w:r>
          </w:p>
        </w:tc>
        <w:tc>
          <w:tcPr>
            <w:tcW w:w="2735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Kėdainių rajono savivaldybė</w:t>
            </w:r>
          </w:p>
        </w:tc>
        <w:tc>
          <w:tcPr>
            <w:tcW w:w="1596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1551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1556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0F05" w:rsidRPr="00416753" w:rsidTr="00355510">
        <w:tc>
          <w:tcPr>
            <w:tcW w:w="763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2.</w:t>
            </w:r>
          </w:p>
        </w:tc>
        <w:tc>
          <w:tcPr>
            <w:tcW w:w="2735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Gyventojų įnašai 80 proc.</w:t>
            </w:r>
          </w:p>
        </w:tc>
        <w:tc>
          <w:tcPr>
            <w:tcW w:w="1596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545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  <w:r w:rsidR="00350F05"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350F05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</w:tr>
      <w:tr w:rsidR="00350F05" w:rsidRPr="00416753" w:rsidTr="00355510">
        <w:tc>
          <w:tcPr>
            <w:tcW w:w="763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2 proc. pajamų mokesčio parama</w:t>
            </w:r>
          </w:p>
        </w:tc>
        <w:tc>
          <w:tcPr>
            <w:tcW w:w="1596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545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1551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556" w:type="dxa"/>
          </w:tcPr>
          <w:p w:rsidR="00350F05" w:rsidRPr="00416753" w:rsidRDefault="004A3223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</w:tr>
      <w:tr w:rsidR="00350F05" w:rsidRPr="00416753" w:rsidTr="00355510">
        <w:tc>
          <w:tcPr>
            <w:tcW w:w="763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4.</w:t>
            </w:r>
          </w:p>
        </w:tc>
        <w:tc>
          <w:tcPr>
            <w:tcW w:w="2735" w:type="dxa"/>
          </w:tcPr>
          <w:p w:rsidR="00350F05" w:rsidRPr="00416753" w:rsidRDefault="00350F05" w:rsidP="00355510">
            <w:pPr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Panevėžio rajono savivaldybės lėšos</w:t>
            </w:r>
          </w:p>
        </w:tc>
        <w:tc>
          <w:tcPr>
            <w:tcW w:w="1596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6</w:t>
            </w:r>
            <w:r w:rsidR="004A3223">
              <w:rPr>
                <w:sz w:val="24"/>
                <w:szCs w:val="24"/>
              </w:rPr>
              <w:t>.</w:t>
            </w:r>
            <w:r w:rsidRPr="00416753"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 w:rsidRPr="00416753">
              <w:rPr>
                <w:sz w:val="24"/>
                <w:szCs w:val="24"/>
              </w:rPr>
              <w:t>6</w:t>
            </w:r>
            <w:r w:rsidR="004A3223">
              <w:rPr>
                <w:sz w:val="24"/>
                <w:szCs w:val="24"/>
              </w:rPr>
              <w:t>.</w:t>
            </w:r>
            <w:r w:rsidRPr="00416753"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350F05" w:rsidRPr="00416753" w:rsidRDefault="00350F05" w:rsidP="00355510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0F05" w:rsidRPr="00416753" w:rsidTr="00355510">
        <w:tc>
          <w:tcPr>
            <w:tcW w:w="763" w:type="dxa"/>
          </w:tcPr>
          <w:p w:rsidR="00350F05" w:rsidRPr="00416753" w:rsidRDefault="00350F05" w:rsidP="00355510">
            <w:pPr>
              <w:ind w:firstLine="709"/>
            </w:pPr>
          </w:p>
        </w:tc>
        <w:tc>
          <w:tcPr>
            <w:tcW w:w="2735" w:type="dxa"/>
          </w:tcPr>
          <w:p w:rsidR="00350F05" w:rsidRPr="00350F05" w:rsidRDefault="00350F05" w:rsidP="00355510">
            <w:pPr>
              <w:rPr>
                <w:b/>
              </w:rPr>
            </w:pPr>
            <w:r w:rsidRPr="00350F05">
              <w:rPr>
                <w:b/>
              </w:rPr>
              <w:t>Viso:</w:t>
            </w:r>
          </w:p>
        </w:tc>
        <w:tc>
          <w:tcPr>
            <w:tcW w:w="1596" w:type="dxa"/>
          </w:tcPr>
          <w:p w:rsidR="00350F05" w:rsidRPr="00350F05" w:rsidRDefault="004A3223" w:rsidP="00355510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1545" w:type="dxa"/>
          </w:tcPr>
          <w:p w:rsidR="00350F05" w:rsidRPr="00350F05" w:rsidRDefault="004A3223" w:rsidP="00355510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78.</w:t>
            </w:r>
            <w:r w:rsidR="00350F05" w:rsidRPr="00350F05">
              <w:rPr>
                <w:b/>
              </w:rPr>
              <w:t>5</w:t>
            </w:r>
          </w:p>
        </w:tc>
        <w:tc>
          <w:tcPr>
            <w:tcW w:w="1551" w:type="dxa"/>
          </w:tcPr>
          <w:p w:rsidR="00350F05" w:rsidRPr="00350F05" w:rsidRDefault="004A3223" w:rsidP="00355510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80.</w:t>
            </w:r>
            <w:r w:rsidR="00350F05" w:rsidRPr="00350F05">
              <w:rPr>
                <w:b/>
              </w:rPr>
              <w:t>3</w:t>
            </w:r>
          </w:p>
        </w:tc>
        <w:tc>
          <w:tcPr>
            <w:tcW w:w="1556" w:type="dxa"/>
          </w:tcPr>
          <w:p w:rsidR="00350F05" w:rsidRPr="00350F05" w:rsidRDefault="004A3223" w:rsidP="00355510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</w:tr>
    </w:tbl>
    <w:p w:rsidR="00350F05" w:rsidRPr="00416753" w:rsidRDefault="00350F05" w:rsidP="00355510">
      <w:pPr>
        <w:ind w:firstLine="709"/>
      </w:pPr>
    </w:p>
    <w:p w:rsidR="0058714B" w:rsidRDefault="0058714B" w:rsidP="00355510"/>
    <w:p w:rsidR="0058714B" w:rsidRDefault="0058714B" w:rsidP="00355510">
      <w:pPr>
        <w:spacing w:line="340" w:lineRule="atLeast"/>
        <w:ind w:firstLine="709"/>
        <w:jc w:val="center"/>
      </w:pPr>
      <w:r>
        <w:t>Informacija apie įstaigos išlaidas per 2015 metus</w:t>
      </w:r>
    </w:p>
    <w:p w:rsidR="0058714B" w:rsidRDefault="0058714B" w:rsidP="00355510">
      <w:pPr>
        <w:spacing w:line="340" w:lineRule="atLeast"/>
        <w:ind w:firstLine="709"/>
        <w:jc w:val="center"/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765"/>
        <w:gridCol w:w="3510"/>
        <w:gridCol w:w="1560"/>
        <w:gridCol w:w="1950"/>
        <w:gridCol w:w="1873"/>
      </w:tblGrid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5510" w:rsidRDefault="0058714B" w:rsidP="00355510">
            <w:pPr>
              <w:spacing w:line="340" w:lineRule="atLeast"/>
            </w:pPr>
            <w:r>
              <w:t>Eil.</w:t>
            </w:r>
          </w:p>
          <w:p w:rsidR="0058714B" w:rsidRDefault="0058714B" w:rsidP="00355510">
            <w:pPr>
              <w:spacing w:line="340" w:lineRule="atLeast"/>
            </w:pPr>
            <w:r>
              <w:t>Nr.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  <w:jc w:val="center"/>
            </w:pPr>
            <w:r>
              <w:t>Išlaidų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Patvirtintas planas su patikslinimas</w:t>
            </w:r>
          </w:p>
          <w:p w:rsidR="0058714B" w:rsidRDefault="004A3223" w:rsidP="00355510">
            <w:pPr>
              <w:spacing w:line="340" w:lineRule="atLeast"/>
            </w:pPr>
            <w:proofErr w:type="spellStart"/>
            <w:r>
              <w:t>tūks</w:t>
            </w:r>
            <w:proofErr w:type="spellEnd"/>
            <w:r>
              <w:t>.</w:t>
            </w:r>
            <w:r w:rsidR="00355510">
              <w:t xml:space="preserve"> </w:t>
            </w:r>
            <w:r w:rsidR="005F5402">
              <w:t>(</w:t>
            </w:r>
            <w:proofErr w:type="spellStart"/>
            <w:r w:rsidR="0058714B">
              <w:t>Eur</w:t>
            </w:r>
            <w:proofErr w:type="spellEnd"/>
            <w:r w:rsidR="0058714B"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Gauti asignavimai</w:t>
            </w:r>
          </w:p>
          <w:p w:rsidR="0058714B" w:rsidRDefault="004A3223" w:rsidP="00355510">
            <w:pPr>
              <w:spacing w:line="340" w:lineRule="atLeast"/>
            </w:pPr>
            <w:proofErr w:type="spellStart"/>
            <w:r>
              <w:t>tūks</w:t>
            </w:r>
            <w:proofErr w:type="spellEnd"/>
            <w:r>
              <w:t>.</w:t>
            </w:r>
            <w:r w:rsidR="00355510">
              <w:t xml:space="preserve"> </w:t>
            </w:r>
            <w:r w:rsidR="0058714B">
              <w:t>(</w:t>
            </w:r>
            <w:proofErr w:type="spellStart"/>
            <w:r w:rsidR="0058714B">
              <w:t>Eur</w:t>
            </w:r>
            <w:proofErr w:type="spellEnd"/>
            <w:r w:rsidR="0058714B">
              <w:t>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Kasinės išlaidos</w:t>
            </w:r>
          </w:p>
          <w:p w:rsidR="0058714B" w:rsidRDefault="004A3223" w:rsidP="00355510">
            <w:pPr>
              <w:spacing w:line="340" w:lineRule="atLeast"/>
            </w:pPr>
            <w:proofErr w:type="spellStart"/>
            <w:r>
              <w:t>tūks</w:t>
            </w:r>
            <w:proofErr w:type="spellEnd"/>
            <w:r>
              <w:t>.</w:t>
            </w:r>
            <w:r w:rsidR="00355510">
              <w:t xml:space="preserve"> </w:t>
            </w:r>
            <w:r w:rsidR="005F5402">
              <w:t>(</w:t>
            </w:r>
            <w:proofErr w:type="spellStart"/>
            <w:r w:rsidR="0058714B">
              <w:t>Eur</w:t>
            </w:r>
            <w:proofErr w:type="spellEnd"/>
            <w:r w:rsidR="0058714B">
              <w:t>)</w:t>
            </w:r>
          </w:p>
        </w:tc>
      </w:tr>
      <w:tr w:rsidR="0058714B" w:rsidTr="00355510">
        <w:trPr>
          <w:trHeight w:val="48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Darbo užmokestis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10</w:t>
            </w:r>
            <w:r w:rsidR="004A3223">
              <w:t>.</w:t>
            </w:r>
            <w: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10</w:t>
            </w:r>
            <w:r w:rsidR="004A3223">
              <w:t>.</w:t>
            </w:r>
            <w: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10</w:t>
            </w:r>
            <w:r w:rsidR="004A3223">
              <w:t>.</w:t>
            </w:r>
            <w:r>
              <w:t>6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Socialinio draudimo įmokos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4A3223">
              <w:t>.</w:t>
            </w:r>
            <w: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4A3223">
              <w:t>.</w:t>
            </w:r>
            <w: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4A3223">
              <w:t>.</w:t>
            </w:r>
            <w:r>
              <w:t>3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Mityba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20.7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20.7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20.7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Komunalinės išlaidos: iš jų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16.4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16.4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16.4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napToGrid w:val="0"/>
              <w:spacing w:line="340" w:lineRule="atLeast"/>
              <w:ind w:firstLine="709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ryšių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4A3223" w:rsidP="00355510">
            <w:pPr>
              <w:snapToGrid w:val="0"/>
              <w:spacing w:line="340" w:lineRule="atLeast"/>
              <w:ind w:firstLine="709"/>
              <w:jc w:val="center"/>
            </w:pPr>
            <w:r>
              <w:t>0.</w:t>
            </w:r>
            <w:r w:rsidR="008D1D44"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4A3223" w:rsidP="00355510">
            <w:pPr>
              <w:snapToGrid w:val="0"/>
              <w:spacing w:line="340" w:lineRule="atLeast"/>
              <w:ind w:firstLine="709"/>
              <w:jc w:val="center"/>
            </w:pPr>
            <w:r>
              <w:t>0.4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4A3223" w:rsidP="00355510">
            <w:pPr>
              <w:spacing w:line="340" w:lineRule="atLeast"/>
              <w:ind w:firstLine="709"/>
              <w:jc w:val="center"/>
            </w:pPr>
            <w:r>
              <w:t>0.4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napToGrid w:val="0"/>
              <w:spacing w:line="340" w:lineRule="atLeast"/>
              <w:ind w:firstLine="709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kitos prekės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napToGrid w:val="0"/>
              <w:spacing w:line="340" w:lineRule="atLeast"/>
              <w:ind w:firstLine="709"/>
              <w:jc w:val="center"/>
            </w:pPr>
            <w:r>
              <w:t>0.</w:t>
            </w:r>
            <w:r w:rsidR="008D1D44"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napToGrid w:val="0"/>
              <w:spacing w:line="340" w:lineRule="atLeast"/>
              <w:ind w:firstLine="709"/>
              <w:jc w:val="center"/>
            </w:pPr>
            <w:r>
              <w:t>0.3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0.3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Higienos priemonės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85447E">
              <w:t>.</w:t>
            </w:r>
            <w: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85447E">
              <w:t>.</w:t>
            </w:r>
            <w:r>
              <w:t>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D1D44" w:rsidP="00355510">
            <w:pPr>
              <w:spacing w:line="340" w:lineRule="atLeast"/>
              <w:ind w:firstLine="709"/>
              <w:jc w:val="center"/>
            </w:pPr>
            <w:r>
              <w:t>3</w:t>
            </w:r>
            <w:r w:rsidR="0085447E">
              <w:t>.</w:t>
            </w:r>
            <w:r>
              <w:t>0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F5402" w:rsidP="00355510">
            <w:pPr>
              <w:spacing w:line="340" w:lineRule="atLeast"/>
              <w:ind w:firstLine="709"/>
            </w:pPr>
            <w:r>
              <w:t>Spaudos prenumerata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0.0</w:t>
            </w:r>
            <w:r w:rsidR="008D1D44"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0.02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F5402" w:rsidP="00355510">
            <w:pPr>
              <w:spacing w:line="340" w:lineRule="atLeast"/>
              <w:ind w:firstLine="709"/>
            </w:pPr>
            <w:r>
              <w:t>Kitos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</w:t>
            </w:r>
            <w:r w:rsidR="008D1D44"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85447E" w:rsidP="00355510">
            <w:pPr>
              <w:spacing w:line="340" w:lineRule="atLeast"/>
              <w:ind w:firstLine="709"/>
              <w:jc w:val="center"/>
            </w:pPr>
            <w:r>
              <w:t>0.2</w:t>
            </w:r>
          </w:p>
        </w:tc>
      </w:tr>
      <w:tr w:rsidR="0058714B" w:rsidTr="006C4E7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</w:pPr>
            <w:r>
              <w:t>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58714B" w:rsidP="00355510">
            <w:pPr>
              <w:spacing w:line="340" w:lineRule="atLeast"/>
              <w:ind w:firstLine="709"/>
            </w:pPr>
            <w:r>
              <w:t>Kitos išlaidos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19.6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19.6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714B" w:rsidRDefault="00913D25" w:rsidP="00355510">
            <w:pPr>
              <w:spacing w:line="340" w:lineRule="atLeast"/>
              <w:ind w:firstLine="709"/>
              <w:jc w:val="center"/>
            </w:pPr>
            <w:r>
              <w:t>19.6</w:t>
            </w:r>
          </w:p>
        </w:tc>
      </w:tr>
    </w:tbl>
    <w:p w:rsidR="0058714B" w:rsidRDefault="0058714B" w:rsidP="00355510">
      <w:pPr>
        <w:tabs>
          <w:tab w:val="left" w:pos="840"/>
        </w:tabs>
        <w:ind w:firstLine="709"/>
        <w:jc w:val="center"/>
        <w:rPr>
          <w:b/>
          <w:bCs/>
        </w:rPr>
      </w:pPr>
    </w:p>
    <w:p w:rsidR="0058714B" w:rsidRDefault="0058714B" w:rsidP="00355510">
      <w:pPr>
        <w:spacing w:line="360" w:lineRule="auto"/>
        <w:ind w:firstLine="709"/>
        <w:jc w:val="both"/>
      </w:pPr>
      <w:r>
        <w:t xml:space="preserve">Vieno gyventojo išlaikymas </w:t>
      </w:r>
      <w:r w:rsidR="0097363A">
        <w:t xml:space="preserve">per mėnesį kainuoja – 583,58 </w:t>
      </w:r>
      <w:proofErr w:type="spellStart"/>
      <w:r w:rsidR="0097363A">
        <w:t>Eur</w:t>
      </w:r>
      <w:proofErr w:type="spellEnd"/>
      <w:r>
        <w:t xml:space="preserve">, </w:t>
      </w:r>
      <w:r w:rsidR="0097363A">
        <w:t xml:space="preserve">dienos maitinimo norma – </w:t>
      </w:r>
      <w:r w:rsidR="0085447E">
        <w:t xml:space="preserve">2,75 </w:t>
      </w:r>
      <w:proofErr w:type="spellStart"/>
      <w:r w:rsidR="0085447E">
        <w:t>Eur</w:t>
      </w:r>
      <w:proofErr w:type="spellEnd"/>
      <w:r>
        <w:t xml:space="preserve"> ( kainos patvirtintos dalininkų susirinkimo metu).</w:t>
      </w:r>
    </w:p>
    <w:p w:rsidR="0058714B" w:rsidRDefault="0058714B" w:rsidP="00355510">
      <w:pPr>
        <w:tabs>
          <w:tab w:val="left" w:pos="4200"/>
        </w:tabs>
        <w:spacing w:line="360" w:lineRule="auto"/>
        <w:ind w:firstLine="709"/>
        <w:jc w:val="both"/>
      </w:pPr>
      <w:r>
        <w:t>Per 2015 metus Viešoji įstaiga „Gyvenimo namai sutrikusio intelekto asmenims“ neįsigijo ir neperleido jok</w:t>
      </w:r>
      <w:r w:rsidR="0097363A">
        <w:t>io ilgalaikio turto.</w:t>
      </w:r>
      <w:r>
        <w:t xml:space="preserve"> </w:t>
      </w:r>
    </w:p>
    <w:p w:rsidR="00D2627B" w:rsidRDefault="00D2627B" w:rsidP="00355510">
      <w:pPr>
        <w:tabs>
          <w:tab w:val="left" w:pos="4200"/>
        </w:tabs>
        <w:spacing w:line="360" w:lineRule="auto"/>
        <w:ind w:firstLine="709"/>
        <w:jc w:val="both"/>
      </w:pPr>
    </w:p>
    <w:p w:rsidR="0058714B" w:rsidRDefault="0058714B" w:rsidP="00355510">
      <w:pPr>
        <w:tabs>
          <w:tab w:val="left" w:pos="840"/>
        </w:tabs>
        <w:ind w:firstLine="709"/>
        <w:jc w:val="center"/>
        <w:rPr>
          <w:b/>
          <w:bCs/>
        </w:rPr>
      </w:pPr>
      <w:r>
        <w:rPr>
          <w:b/>
          <w:bCs/>
        </w:rPr>
        <w:t>VI. DUOMENYS APIE ĮSTAIGOS VADOVĄ</w:t>
      </w:r>
    </w:p>
    <w:p w:rsidR="0058714B" w:rsidRDefault="0058714B" w:rsidP="00355510">
      <w:pPr>
        <w:tabs>
          <w:tab w:val="left" w:pos="840"/>
        </w:tabs>
        <w:ind w:firstLine="709"/>
        <w:jc w:val="center"/>
        <w:rPr>
          <w:b/>
          <w:bCs/>
        </w:rPr>
      </w:pPr>
    </w:p>
    <w:p w:rsidR="00355510" w:rsidRDefault="0058714B" w:rsidP="00355510">
      <w:pPr>
        <w:spacing w:line="360" w:lineRule="auto"/>
        <w:ind w:firstLine="709"/>
        <w:jc w:val="both"/>
      </w:pPr>
      <w:r>
        <w:t xml:space="preserve">Įstaigos direktorė – Asta </w:t>
      </w:r>
      <w:proofErr w:type="spellStart"/>
      <w:r>
        <w:t>Rekštienė</w:t>
      </w:r>
      <w:proofErr w:type="spellEnd"/>
      <w:r>
        <w:t>, šioje įstaigoje dirba nuo 2010 metų vasario 18 d.  Išsilavinimas   –  aukštasis universitetinis (socialinio pedagogo kvalifikacija, edukologijos magistro laipsnis) Kauno kolegija, VDU.</w:t>
      </w:r>
    </w:p>
    <w:p w:rsidR="00355510" w:rsidRDefault="0058714B" w:rsidP="00355510">
      <w:pPr>
        <w:spacing w:line="360" w:lineRule="auto"/>
        <w:ind w:firstLine="709"/>
        <w:jc w:val="both"/>
      </w:pPr>
      <w:r>
        <w:rPr>
          <w:bCs/>
        </w:rPr>
        <w:t>Kontaktai : el.</w:t>
      </w:r>
      <w:r w:rsidR="00355510">
        <w:rPr>
          <w:bCs/>
        </w:rPr>
        <w:t xml:space="preserve"> </w:t>
      </w:r>
      <w:r>
        <w:rPr>
          <w:bCs/>
        </w:rPr>
        <w:t xml:space="preserve">p.  </w:t>
      </w:r>
      <w:hyperlink r:id="rId5" w:history="1">
        <w:r>
          <w:rPr>
            <w:rStyle w:val="Hipersaitas"/>
            <w:bCs/>
          </w:rPr>
          <w:t>rekstiene.asta</w:t>
        </w:r>
        <w:r>
          <w:rPr>
            <w:rStyle w:val="Hipersaitas"/>
          </w:rPr>
          <w:t>@gmail.com</w:t>
        </w:r>
      </w:hyperlink>
      <w:r>
        <w:t>, tel. (8 347)50615.</w:t>
      </w:r>
    </w:p>
    <w:p w:rsidR="0058714B" w:rsidRPr="00355510" w:rsidRDefault="0058714B" w:rsidP="00355510">
      <w:pPr>
        <w:spacing w:line="360" w:lineRule="auto"/>
        <w:ind w:firstLine="709"/>
        <w:jc w:val="both"/>
      </w:pPr>
      <w:r>
        <w:t>Įstaigos direktoriaus darb</w:t>
      </w:r>
      <w:r w:rsidR="00733E19">
        <w:t>o užmokesčiui panaudota 8988,29</w:t>
      </w:r>
      <w:r w:rsidR="00D2627B">
        <w:t xml:space="preserve"> </w:t>
      </w:r>
      <w:proofErr w:type="spellStart"/>
      <w:r w:rsidR="00D2627B">
        <w:t>Eur</w:t>
      </w:r>
      <w:proofErr w:type="spellEnd"/>
      <w:r w:rsidR="00733E19">
        <w:t xml:space="preserve">, iš jų Sodros išlaidos 2136,45 </w:t>
      </w:r>
      <w:proofErr w:type="spellStart"/>
      <w:r w:rsidR="00733E19">
        <w:t>Eur</w:t>
      </w:r>
      <w:proofErr w:type="spellEnd"/>
      <w:r w:rsidR="00733E19">
        <w:t xml:space="preserve">. </w:t>
      </w:r>
      <w:r>
        <w:t xml:space="preserve"> Kitų išlaidų nebuvo. </w:t>
      </w:r>
    </w:p>
    <w:p w:rsidR="0058714B" w:rsidRDefault="0058714B" w:rsidP="00355510">
      <w:pPr>
        <w:spacing w:line="360" w:lineRule="auto"/>
        <w:ind w:firstLine="709"/>
        <w:jc w:val="both"/>
      </w:pPr>
    </w:p>
    <w:p w:rsidR="00D2627B" w:rsidRDefault="00D2627B" w:rsidP="00355510">
      <w:pPr>
        <w:tabs>
          <w:tab w:val="left" w:pos="2649"/>
        </w:tabs>
        <w:ind w:firstLine="709"/>
        <w:jc w:val="center"/>
      </w:pPr>
      <w:r>
        <w:rPr>
          <w:b/>
        </w:rPr>
        <w:t>VII. ĮSTAIGOS DALYVAVIMAS PROJEKTUOSE IR PROGRAMOSE</w:t>
      </w:r>
    </w:p>
    <w:p w:rsidR="00D2627B" w:rsidRDefault="00D2627B" w:rsidP="00355510">
      <w:pPr>
        <w:ind w:firstLine="709"/>
        <w:jc w:val="center"/>
      </w:pPr>
    </w:p>
    <w:p w:rsidR="00D2627B" w:rsidRDefault="00D2627B" w:rsidP="00355510">
      <w:pPr>
        <w:spacing w:line="360" w:lineRule="auto"/>
        <w:ind w:firstLine="709"/>
        <w:jc w:val="both"/>
      </w:pPr>
      <w:r>
        <w:t>Viešoji įstaiga „Gyvenimo namai sutrikusio intelekto asmenims“ 2015 metais dalyvavo projektuose: sutrikusio intelekto žmonių globos bendrijos „Kėdainių viltis“ „Socialinės reabilitacijos paslaugų neįgaliesiems bendruomenėje“ projekte</w:t>
      </w:r>
      <w:r w:rsidR="006A7155">
        <w:t xml:space="preserve">. </w:t>
      </w:r>
      <w:r>
        <w:t xml:space="preserve">Bendradarbiaujame su Kėdainių specialiąją mokykla, Raseinių neįgaliųjų dienos užimtumo centru, Kėdainių bendruomenės centro socialinių paslaugų neįgaliesiems padalinių, Klaipėdos </w:t>
      </w:r>
      <w:proofErr w:type="spellStart"/>
      <w:r>
        <w:t>VšĮ</w:t>
      </w:r>
      <w:proofErr w:type="spellEnd"/>
      <w:r>
        <w:t xml:space="preserve"> „Gyvenimo namais“, labdaros ir paramos fondu „Maisto bankas“,</w:t>
      </w:r>
      <w:r w:rsidR="00FB3CC0">
        <w:t xml:space="preserve"> „Viltis – Vikonda“,</w:t>
      </w:r>
      <w:r>
        <w:t xml:space="preserve"> Kėdainių pirminės sveikatos priežiūros centru, Lietuvos sutrikusio intelekto </w:t>
      </w:r>
      <w:r w:rsidR="00FB3CC0">
        <w:t>žmonių globos bendrija „Viltis“, Kėdainių pirminių sveikatos priežiūros centru, Kėdainių psichikos sveikatos centru, Kėdainių rajono nevyriausybinėmis organizacijomis, Kėdainių kultūros centru.</w:t>
      </w:r>
    </w:p>
    <w:p w:rsidR="00D2627B" w:rsidRDefault="00D2627B" w:rsidP="00355510">
      <w:pPr>
        <w:ind w:firstLine="709"/>
      </w:pPr>
    </w:p>
    <w:p w:rsidR="00D2627B" w:rsidRDefault="00D2627B" w:rsidP="00355510">
      <w:pPr>
        <w:tabs>
          <w:tab w:val="left" w:pos="2785"/>
        </w:tabs>
        <w:ind w:firstLine="709"/>
        <w:rPr>
          <w:b/>
        </w:rPr>
      </w:pPr>
      <w:r>
        <w:tab/>
      </w:r>
      <w:r>
        <w:rPr>
          <w:b/>
        </w:rPr>
        <w:t>VIII.</w:t>
      </w:r>
      <w:r>
        <w:t xml:space="preserve"> </w:t>
      </w:r>
      <w:r>
        <w:rPr>
          <w:b/>
        </w:rPr>
        <w:t>ĮSTAIGOS PROBLEMOS</w:t>
      </w:r>
    </w:p>
    <w:p w:rsidR="00BB7D43" w:rsidRDefault="00BB7D43" w:rsidP="00355510">
      <w:pPr>
        <w:tabs>
          <w:tab w:val="left" w:pos="2785"/>
        </w:tabs>
        <w:ind w:firstLine="709"/>
        <w:rPr>
          <w:b/>
        </w:rPr>
      </w:pPr>
    </w:p>
    <w:p w:rsidR="00BB7D43" w:rsidRDefault="00BB7D43" w:rsidP="00355510">
      <w:pPr>
        <w:spacing w:line="360" w:lineRule="auto"/>
        <w:ind w:firstLine="709"/>
        <w:jc w:val="both"/>
      </w:pPr>
      <w:r>
        <w:t xml:space="preserve">2015 m. Sutrikusio intelekto žmonių globos bendrija „Kėdainių viltis“ Kėdainių rajono savivaldybei teikia „Socialinės reabilitacijos paslaugų neįgaliesiems bendruomenėje“ projektą ir iš Neįgaliųjų reikalų departamento prie SADM gavo 31041,00 </w:t>
      </w:r>
      <w:proofErr w:type="spellStart"/>
      <w:r>
        <w:t>Eur</w:t>
      </w:r>
      <w:proofErr w:type="spellEnd"/>
      <w:r>
        <w:t>.</w:t>
      </w:r>
      <w:r w:rsidRPr="00BB7D43">
        <w:t xml:space="preserve"> </w:t>
      </w:r>
      <w:r>
        <w:t>Darbuotojai dirbantis įstaigoje yra įdarbinti bendrijoje „Kėdainių viltis“. Iš projekto gaunamų lėšų nepakanka darbuotojų atlyginimams mokėti.</w:t>
      </w:r>
    </w:p>
    <w:p w:rsidR="0085447E" w:rsidRDefault="00FB3CC0" w:rsidP="00355510">
      <w:pPr>
        <w:spacing w:line="360" w:lineRule="auto"/>
        <w:ind w:firstLine="709"/>
        <w:jc w:val="both"/>
      </w:pPr>
      <w:r>
        <w:t xml:space="preserve">Įstaigos problema: finansavimo nepastovumas, darbuotojų įdarbinimas </w:t>
      </w:r>
      <w:r w:rsidR="007437F5">
        <w:t>„</w:t>
      </w:r>
      <w:r>
        <w:t xml:space="preserve">Gyvenimo </w:t>
      </w:r>
      <w:r w:rsidR="007437F5">
        <w:t xml:space="preserve">namuose“. </w:t>
      </w:r>
    </w:p>
    <w:p w:rsidR="0085447E" w:rsidRDefault="00FB3CC0" w:rsidP="00355510">
      <w:pPr>
        <w:spacing w:line="360" w:lineRule="auto"/>
        <w:ind w:firstLine="709"/>
        <w:jc w:val="both"/>
      </w:pPr>
      <w:r>
        <w:t xml:space="preserve">Sprendimo būdas:  2016 metais bus ieškoma lėšų </w:t>
      </w:r>
      <w:r w:rsidR="007437F5">
        <w:t xml:space="preserve">įstaigos stabiliam finansavimui, darbuotojų įdarbinimui Gyvenimo namuose </w:t>
      </w:r>
      <w:r w:rsidR="00BB7D43">
        <w:t>.</w:t>
      </w:r>
    </w:p>
    <w:p w:rsidR="0085447E" w:rsidRDefault="0085447E" w:rsidP="00355510">
      <w:pPr>
        <w:spacing w:line="360" w:lineRule="auto"/>
        <w:ind w:firstLine="709"/>
        <w:jc w:val="both"/>
      </w:pPr>
    </w:p>
    <w:p w:rsidR="0085447E" w:rsidRDefault="0085447E" w:rsidP="00355510">
      <w:pPr>
        <w:spacing w:line="360" w:lineRule="auto"/>
        <w:ind w:firstLine="709"/>
        <w:jc w:val="both"/>
      </w:pPr>
    </w:p>
    <w:p w:rsidR="0058714B" w:rsidRDefault="00F530DC" w:rsidP="00F530DC">
      <w:pPr>
        <w:tabs>
          <w:tab w:val="left" w:pos="4200"/>
        </w:tabs>
        <w:ind w:firstLine="709"/>
        <w:jc w:val="center"/>
        <w:rPr>
          <w:b/>
          <w:bCs/>
        </w:rPr>
      </w:pPr>
      <w:r>
        <w:t>_________________________</w:t>
      </w:r>
      <w:bookmarkStart w:id="0" w:name="_GoBack"/>
      <w:bookmarkEnd w:id="0"/>
    </w:p>
    <w:p w:rsidR="002134CA" w:rsidRDefault="00F530DC"/>
    <w:sectPr w:rsidR="002134CA" w:rsidSect="0035551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B63A7"/>
    <w:rsid w:val="00151A6A"/>
    <w:rsid w:val="00153C42"/>
    <w:rsid w:val="001D5F7A"/>
    <w:rsid w:val="001F6960"/>
    <w:rsid w:val="00350F05"/>
    <w:rsid w:val="00355510"/>
    <w:rsid w:val="00437CBD"/>
    <w:rsid w:val="00481639"/>
    <w:rsid w:val="004A3223"/>
    <w:rsid w:val="0058714B"/>
    <w:rsid w:val="005B63A7"/>
    <w:rsid w:val="005F5402"/>
    <w:rsid w:val="00645AC2"/>
    <w:rsid w:val="006A7155"/>
    <w:rsid w:val="00733E19"/>
    <w:rsid w:val="007437F5"/>
    <w:rsid w:val="0085447E"/>
    <w:rsid w:val="008A0258"/>
    <w:rsid w:val="008D1D44"/>
    <w:rsid w:val="00913D25"/>
    <w:rsid w:val="00932416"/>
    <w:rsid w:val="00934A2E"/>
    <w:rsid w:val="0097363A"/>
    <w:rsid w:val="009B5965"/>
    <w:rsid w:val="00BB7D43"/>
    <w:rsid w:val="00BE7072"/>
    <w:rsid w:val="00D2627B"/>
    <w:rsid w:val="00D53268"/>
    <w:rsid w:val="00D61092"/>
    <w:rsid w:val="00E07BBF"/>
    <w:rsid w:val="00F530DC"/>
    <w:rsid w:val="00F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63A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5B63A7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prastasistinklapis1">
    <w:name w:val="Įprastasis (tinklapis)1"/>
    <w:basedOn w:val="prastasis"/>
    <w:rsid w:val="005B63A7"/>
    <w:pPr>
      <w:spacing w:before="28" w:after="100"/>
    </w:pPr>
    <w:rPr>
      <w:rFonts w:eastAsia="Calibri"/>
    </w:rPr>
  </w:style>
  <w:style w:type="character" w:styleId="Hipersaitas">
    <w:name w:val="Hyperlink"/>
    <w:basedOn w:val="Numatytasispastraiposriftas"/>
    <w:rsid w:val="0058714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3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stiene.a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M58p</dc:creator>
  <cp:lastModifiedBy>Vartotojas</cp:lastModifiedBy>
  <cp:revision>8</cp:revision>
  <cp:lastPrinted>2016-03-15T07:33:00Z</cp:lastPrinted>
  <dcterms:created xsi:type="dcterms:W3CDTF">2016-03-14T06:07:00Z</dcterms:created>
  <dcterms:modified xsi:type="dcterms:W3CDTF">2016-03-29T10:05:00Z</dcterms:modified>
</cp:coreProperties>
</file>