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75" w:rsidRPr="00576475" w:rsidRDefault="00576475" w:rsidP="00576475">
      <w:pPr>
        <w:tabs>
          <w:tab w:val="left" w:pos="90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576475">
        <w:rPr>
          <w:rFonts w:eastAsia="Calibri"/>
          <w:lang w:eastAsia="en-US"/>
        </w:rPr>
        <w:t>PRITARTA</w:t>
      </w:r>
    </w:p>
    <w:p w:rsidR="00576475" w:rsidRPr="00576475" w:rsidRDefault="00576475" w:rsidP="00576475">
      <w:pPr>
        <w:tabs>
          <w:tab w:val="left" w:pos="900"/>
        </w:tabs>
        <w:rPr>
          <w:rFonts w:eastAsia="Calibri"/>
          <w:lang w:eastAsia="en-US"/>
        </w:rPr>
      </w:pPr>
      <w:r w:rsidRPr="00576475">
        <w:rPr>
          <w:rFonts w:eastAsia="Calibri"/>
          <w:lang w:eastAsia="en-US"/>
        </w:rPr>
        <w:tab/>
      </w:r>
      <w:r w:rsidRPr="00576475">
        <w:rPr>
          <w:rFonts w:eastAsia="Calibri"/>
          <w:lang w:eastAsia="en-US"/>
        </w:rPr>
        <w:tab/>
      </w:r>
      <w:r w:rsidRPr="00576475">
        <w:rPr>
          <w:rFonts w:eastAsia="Calibri"/>
          <w:lang w:eastAsia="en-US"/>
        </w:rPr>
        <w:tab/>
      </w:r>
      <w:r w:rsidRPr="00576475">
        <w:rPr>
          <w:rFonts w:eastAsia="Calibri"/>
          <w:lang w:eastAsia="en-US"/>
        </w:rPr>
        <w:tab/>
      </w:r>
      <w:r w:rsidRPr="00576475">
        <w:rPr>
          <w:rFonts w:eastAsia="Calibri"/>
          <w:lang w:eastAsia="en-US"/>
        </w:rPr>
        <w:tab/>
        <w:t xml:space="preserve">Kėdainių rajono savivaldybės tarybos </w:t>
      </w:r>
    </w:p>
    <w:p w:rsidR="00576475" w:rsidRPr="00576475" w:rsidRDefault="00576475" w:rsidP="00576475">
      <w:pPr>
        <w:tabs>
          <w:tab w:val="left" w:pos="900"/>
        </w:tabs>
        <w:rPr>
          <w:rFonts w:eastAsia="Calibri"/>
          <w:lang w:eastAsia="en-US"/>
        </w:rPr>
      </w:pPr>
      <w:r w:rsidRPr="00576475">
        <w:rPr>
          <w:rFonts w:eastAsia="Calibri"/>
          <w:lang w:eastAsia="en-US"/>
        </w:rPr>
        <w:tab/>
      </w:r>
      <w:r w:rsidRPr="00576475">
        <w:rPr>
          <w:rFonts w:eastAsia="Calibri"/>
          <w:lang w:eastAsia="en-US"/>
        </w:rPr>
        <w:tab/>
      </w:r>
      <w:r w:rsidRPr="00576475">
        <w:rPr>
          <w:rFonts w:eastAsia="Calibri"/>
          <w:lang w:eastAsia="en-US"/>
        </w:rPr>
        <w:tab/>
      </w:r>
      <w:r w:rsidRPr="00576475">
        <w:rPr>
          <w:rFonts w:eastAsia="Calibri"/>
          <w:lang w:eastAsia="en-US"/>
        </w:rPr>
        <w:tab/>
      </w:r>
      <w:r w:rsidRPr="00576475">
        <w:rPr>
          <w:rFonts w:eastAsia="Calibri"/>
          <w:lang w:eastAsia="en-US"/>
        </w:rPr>
        <w:tab/>
        <w:t xml:space="preserve">2015 </w:t>
      </w:r>
      <w:proofErr w:type="spellStart"/>
      <w:r w:rsidRPr="00576475">
        <w:rPr>
          <w:rFonts w:eastAsia="Calibri"/>
          <w:lang w:eastAsia="en-US"/>
        </w:rPr>
        <w:t>m</w:t>
      </w:r>
      <w:proofErr w:type="spellEnd"/>
      <w:r w:rsidRPr="00576475">
        <w:rPr>
          <w:rFonts w:eastAsia="Calibri"/>
          <w:lang w:eastAsia="en-US"/>
        </w:rPr>
        <w:t xml:space="preserve">. kovo </w:t>
      </w:r>
      <w:r w:rsidR="00413078">
        <w:rPr>
          <w:rFonts w:eastAsia="Calibri"/>
          <w:lang w:eastAsia="en-US"/>
        </w:rPr>
        <w:t>27</w:t>
      </w:r>
      <w:r w:rsidRPr="00576475">
        <w:rPr>
          <w:rFonts w:eastAsia="Calibri"/>
          <w:lang w:eastAsia="en-US"/>
        </w:rPr>
        <w:t xml:space="preserve"> </w:t>
      </w:r>
      <w:proofErr w:type="spellStart"/>
      <w:r w:rsidRPr="00576475">
        <w:rPr>
          <w:rFonts w:eastAsia="Calibri"/>
          <w:lang w:eastAsia="en-US"/>
        </w:rPr>
        <w:t>d</w:t>
      </w:r>
      <w:proofErr w:type="spellEnd"/>
      <w:r w:rsidRPr="00576475">
        <w:rPr>
          <w:rFonts w:eastAsia="Calibri"/>
          <w:lang w:eastAsia="en-US"/>
        </w:rPr>
        <w:t xml:space="preserve">. sprendimu </w:t>
      </w:r>
      <w:proofErr w:type="spellStart"/>
      <w:r w:rsidRPr="00576475">
        <w:rPr>
          <w:rFonts w:eastAsia="Calibri"/>
          <w:lang w:eastAsia="en-US"/>
        </w:rPr>
        <w:t>Nr</w:t>
      </w:r>
      <w:proofErr w:type="spellEnd"/>
      <w:r w:rsidRPr="00576475">
        <w:rPr>
          <w:rFonts w:eastAsia="Calibri"/>
          <w:lang w:eastAsia="en-US"/>
        </w:rPr>
        <w:t>. TS-</w:t>
      </w:r>
      <w:r w:rsidR="00413078">
        <w:rPr>
          <w:rFonts w:eastAsia="Calibri"/>
          <w:lang w:eastAsia="en-US"/>
        </w:rPr>
        <w:t>43</w:t>
      </w:r>
      <w:bookmarkStart w:id="0" w:name="_GoBack"/>
      <w:bookmarkEnd w:id="0"/>
    </w:p>
    <w:p w:rsidR="00576475" w:rsidRDefault="00576475" w:rsidP="00314027">
      <w:pPr>
        <w:jc w:val="center"/>
        <w:rPr>
          <w:b/>
        </w:rPr>
      </w:pPr>
    </w:p>
    <w:p w:rsidR="00314027" w:rsidRDefault="00314027" w:rsidP="00576475">
      <w:pPr>
        <w:jc w:val="center"/>
        <w:rPr>
          <w:b/>
        </w:rPr>
      </w:pPr>
      <w:r>
        <w:rPr>
          <w:b/>
        </w:rPr>
        <w:t>VIEŠOSIOS ĮSTAIGOS „GYV</w:t>
      </w:r>
      <w:r w:rsidR="00576475">
        <w:rPr>
          <w:b/>
        </w:rPr>
        <w:t xml:space="preserve">ENIMO NAMŲ SUTRIKUSIO INTELEKTO </w:t>
      </w:r>
      <w:r>
        <w:rPr>
          <w:b/>
        </w:rPr>
        <w:t>ASMENIMS“ 2014 METŲ VADOVO VEIKLOS ATASKAITA</w:t>
      </w:r>
    </w:p>
    <w:p w:rsidR="00314027" w:rsidRDefault="00314027" w:rsidP="00314027"/>
    <w:p w:rsidR="00314027" w:rsidRDefault="00314027" w:rsidP="00314027">
      <w:pPr>
        <w:pStyle w:val="Sraopastraipa"/>
        <w:ind w:left="185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I.  BENDRA  INFORMACIJA</w:t>
      </w:r>
    </w:p>
    <w:p w:rsidR="00314027" w:rsidRDefault="00314027" w:rsidP="00314027">
      <w:pPr>
        <w:spacing w:line="100" w:lineRule="atLeast"/>
        <w:jc w:val="both"/>
        <w:rPr>
          <w:b/>
        </w:rPr>
      </w:pPr>
    </w:p>
    <w:p w:rsidR="00314027" w:rsidRPr="007772CD" w:rsidRDefault="00314027" w:rsidP="00314027">
      <w:pPr>
        <w:spacing w:line="360" w:lineRule="auto"/>
        <w:ind w:firstLine="680"/>
        <w:jc w:val="both"/>
      </w:pPr>
      <w:r>
        <w:t>1.1.</w:t>
      </w:r>
      <w:r w:rsidRPr="007772CD">
        <w:t xml:space="preserve">Viešoji įstaiga „Gyvenimo namai sutrikusio intelekto asmenims“ buvo įregistruota Valstybės įmonės Registrų centro Juridinių asmenų registre 2010 m. birželio 3 d. </w:t>
      </w:r>
    </w:p>
    <w:p w:rsidR="00314027" w:rsidRPr="007772CD" w:rsidRDefault="00314027" w:rsidP="00314027">
      <w:pPr>
        <w:spacing w:line="360" w:lineRule="auto"/>
        <w:ind w:firstLine="680"/>
        <w:jc w:val="both"/>
      </w:pPr>
      <w:r>
        <w:t>1.2.</w:t>
      </w:r>
      <w:r w:rsidRPr="007772CD">
        <w:t xml:space="preserve">Įstaigos kodas - 302518681. </w:t>
      </w:r>
    </w:p>
    <w:p w:rsidR="00314027" w:rsidRPr="007772CD" w:rsidRDefault="00314027" w:rsidP="00314027">
      <w:pPr>
        <w:spacing w:line="360" w:lineRule="auto"/>
        <w:ind w:firstLine="680"/>
        <w:jc w:val="both"/>
      </w:pPr>
      <w:r>
        <w:t>1.3.</w:t>
      </w:r>
      <w:r w:rsidRPr="007772CD">
        <w:t>Įstaigos adresas:  P. Lukšio g. 16,</w:t>
      </w:r>
      <w:r>
        <w:t xml:space="preserve"> LT- 57202</w:t>
      </w:r>
      <w:r w:rsidRPr="007772CD">
        <w:t xml:space="preserve"> Kėdainiai.</w:t>
      </w:r>
    </w:p>
    <w:p w:rsidR="00314027" w:rsidRDefault="00314027" w:rsidP="00314027">
      <w:pPr>
        <w:spacing w:line="360" w:lineRule="auto"/>
        <w:ind w:firstLine="680"/>
        <w:jc w:val="both"/>
      </w:pPr>
      <w:r w:rsidRPr="007772CD">
        <w:t>Tel./faks. (8 347) 50 615</w:t>
      </w:r>
    </w:p>
    <w:p w:rsidR="00314027" w:rsidRDefault="00314027" w:rsidP="00314027">
      <w:pPr>
        <w:spacing w:line="360" w:lineRule="auto"/>
        <w:jc w:val="both"/>
      </w:pPr>
      <w:r>
        <w:rPr>
          <w:b/>
        </w:rPr>
        <w:t xml:space="preserve">          </w:t>
      </w:r>
      <w:r w:rsidRPr="00C370E4">
        <w:rPr>
          <w:b/>
        </w:rPr>
        <w:t>VIZIJA:</w:t>
      </w:r>
      <w:r w:rsidR="00B11382">
        <w:t xml:space="preserve"> </w:t>
      </w:r>
      <w:r>
        <w:t>Visuomenės poreikius tenkinanti įstaiga asmenims su proto negalia. Namai, sugebantys sudaryti gyvenimo sąlygas, artimas šeimos aplinkai ir gebantis rūpintis asmenimis su proto negalia, tenkinantys jų buitinius, socialinius poreikius.</w:t>
      </w:r>
    </w:p>
    <w:p w:rsidR="00314027" w:rsidRDefault="00314027" w:rsidP="00314027">
      <w:pPr>
        <w:spacing w:line="360" w:lineRule="auto"/>
        <w:jc w:val="both"/>
      </w:pPr>
      <w:r>
        <w:rPr>
          <w:b/>
        </w:rPr>
        <w:t xml:space="preserve">           </w:t>
      </w:r>
      <w:r w:rsidRPr="00C370E4">
        <w:rPr>
          <w:b/>
        </w:rPr>
        <w:t>MISIJA:</w:t>
      </w:r>
      <w:r>
        <w:rPr>
          <w:b/>
        </w:rPr>
        <w:t xml:space="preserve"> </w:t>
      </w:r>
      <w:r>
        <w:t xml:space="preserve">Įgyvendinti efektyvią socialinės pagalbos sistemą, užtikrinančią įstaigos gyventojų socialinį saugumą bei integraciją į visuomenę. </w:t>
      </w:r>
    </w:p>
    <w:p w:rsidR="00314027" w:rsidRDefault="00314027" w:rsidP="00314027">
      <w:pPr>
        <w:spacing w:line="360" w:lineRule="auto"/>
        <w:jc w:val="both"/>
      </w:pPr>
      <w:r w:rsidRPr="007772CD">
        <w:t xml:space="preserve">Įstaigos direktorė – Asta </w:t>
      </w:r>
      <w:proofErr w:type="spellStart"/>
      <w:r w:rsidRPr="007772CD">
        <w:t>Rekštienė</w:t>
      </w:r>
      <w:proofErr w:type="spellEnd"/>
      <w:r w:rsidRPr="007772CD">
        <w:t>, šioje įstaigoje dirba nuo 2010 metų vasario 18 d.</w:t>
      </w:r>
      <w:r w:rsidR="00B11382">
        <w:t xml:space="preserve">,  išsilavinimas - </w:t>
      </w:r>
      <w:r>
        <w:t xml:space="preserve">aukštasis </w:t>
      </w:r>
      <w:r w:rsidRPr="007772CD">
        <w:t>universitetinis (socialinio pedagog</w:t>
      </w:r>
      <w:r>
        <w:t>o kva</w:t>
      </w:r>
      <w:r w:rsidR="00E013FC">
        <w:t>lifikacija) Kauno kolegija, VDU (edukologijos magistro laipsnis).</w:t>
      </w:r>
    </w:p>
    <w:p w:rsidR="00E013FC" w:rsidRPr="007772CD" w:rsidRDefault="00B11382" w:rsidP="00E013FC">
      <w:pPr>
        <w:spacing w:line="360" w:lineRule="auto"/>
        <w:jc w:val="both"/>
      </w:pPr>
      <w:r>
        <w:t xml:space="preserve">Įstaigos buhalterė </w:t>
      </w:r>
      <w:r w:rsidR="00E013FC" w:rsidRPr="007772CD">
        <w:t xml:space="preserve">Nijolė </w:t>
      </w:r>
      <w:proofErr w:type="spellStart"/>
      <w:r w:rsidR="00E013FC" w:rsidRPr="007772CD">
        <w:t>Grigaitie</w:t>
      </w:r>
      <w:r w:rsidR="00E013FC">
        <w:t>nė</w:t>
      </w:r>
      <w:proofErr w:type="spellEnd"/>
      <w:r w:rsidR="00E013FC">
        <w:t>, stažas šioje įstaigoje – 4 metai</w:t>
      </w:r>
      <w:r w:rsidR="00E013FC" w:rsidRPr="007772CD">
        <w:t>; išsilavinimas –aukštasis, ekonomisto kvalifikacija (VU).</w:t>
      </w:r>
    </w:p>
    <w:p w:rsidR="00314027" w:rsidRDefault="00314027" w:rsidP="00314027">
      <w:pPr>
        <w:spacing w:line="360" w:lineRule="auto"/>
        <w:ind w:firstLine="680"/>
        <w:jc w:val="both"/>
      </w:pPr>
    </w:p>
    <w:p w:rsidR="00314027" w:rsidRDefault="00314027" w:rsidP="00314027">
      <w:pPr>
        <w:spacing w:line="360" w:lineRule="auto"/>
        <w:ind w:firstLine="680"/>
        <w:jc w:val="center"/>
        <w:rPr>
          <w:b/>
        </w:rPr>
      </w:pPr>
      <w:r w:rsidRPr="00253332">
        <w:rPr>
          <w:b/>
        </w:rPr>
        <w:t>II. VIEŠOSIOS ĮSTAIGOS DALININKAI</w:t>
      </w:r>
    </w:p>
    <w:p w:rsidR="00B87BEE" w:rsidRDefault="00B87BEE" w:rsidP="00314027">
      <w:pPr>
        <w:spacing w:line="360" w:lineRule="auto"/>
        <w:ind w:firstLine="680"/>
        <w:jc w:val="center"/>
        <w:rPr>
          <w:b/>
        </w:rPr>
      </w:pPr>
    </w:p>
    <w:p w:rsidR="00314027" w:rsidRPr="00253332" w:rsidRDefault="00314027" w:rsidP="00576475">
      <w:pPr>
        <w:spacing w:line="360" w:lineRule="auto"/>
        <w:ind w:firstLine="680"/>
        <w:jc w:val="both"/>
      </w:pPr>
      <w:r w:rsidRPr="00253332">
        <w:t>2.1</w:t>
      </w:r>
      <w:r>
        <w:t>.</w:t>
      </w:r>
      <w:r w:rsidRPr="00253332">
        <w:t xml:space="preserve"> Viešosios </w:t>
      </w:r>
      <w:r>
        <w:t>įstaig</w:t>
      </w:r>
      <w:r w:rsidRPr="00253332">
        <w:t xml:space="preserve">os steigėjai - </w:t>
      </w:r>
      <w:r>
        <w:t>Kėdainių rajono savivaldybė,</w:t>
      </w:r>
      <w:r w:rsidRPr="00253332">
        <w:t xml:space="preserve"> </w:t>
      </w:r>
      <w:r>
        <w:t>Sutrikusio intelekto žmonių globos bendrija „Kėdainių viltis“,</w:t>
      </w:r>
      <w:r w:rsidRPr="00253332">
        <w:t xml:space="preserve"> </w:t>
      </w:r>
      <w:r>
        <w:t>Lietuvos sutrikusio intelekto žmonių globos bendrija „Viltis“.</w:t>
      </w:r>
    </w:p>
    <w:p w:rsidR="00314027" w:rsidRDefault="00314027" w:rsidP="00576475">
      <w:pPr>
        <w:spacing w:line="360" w:lineRule="auto"/>
        <w:ind w:firstLine="680"/>
        <w:jc w:val="both"/>
      </w:pPr>
      <w:r>
        <w:t xml:space="preserve">2.2.Viešosios įstaigos dalininkai : </w:t>
      </w:r>
    </w:p>
    <w:p w:rsidR="00314027" w:rsidRDefault="00314027" w:rsidP="00576475">
      <w:pPr>
        <w:spacing w:line="360" w:lineRule="auto"/>
        <w:ind w:firstLine="680"/>
        <w:jc w:val="both"/>
      </w:pPr>
      <w:r>
        <w:t xml:space="preserve">Kėdainių rajono savivaldybė, kurios dalininko įnašas viešosios įstaigos kapitale – 1 litas, </w:t>
      </w:r>
    </w:p>
    <w:p w:rsidR="00314027" w:rsidRDefault="00314027" w:rsidP="00576475">
      <w:pPr>
        <w:spacing w:line="360" w:lineRule="auto"/>
        <w:ind w:firstLine="680"/>
        <w:jc w:val="both"/>
      </w:pPr>
      <w:r>
        <w:t xml:space="preserve">Sutrikusio intelekto žmonių globos bendrija „Kėdainių viltis“ , kurios įnašas viešosios įstaigos kapitale – 1 litas, </w:t>
      </w:r>
    </w:p>
    <w:p w:rsidR="00314027" w:rsidRDefault="00314027" w:rsidP="00576475">
      <w:pPr>
        <w:spacing w:line="360" w:lineRule="auto"/>
        <w:ind w:firstLine="680"/>
        <w:jc w:val="both"/>
      </w:pPr>
      <w:r>
        <w:t>Lietuvos sutrikusio intelekto žmonių globos bendrija „Viltis“, kurios įnašas viešosios įstaigos kapitale – 1 litas.</w:t>
      </w:r>
    </w:p>
    <w:p w:rsidR="00314027" w:rsidRDefault="00314027" w:rsidP="00576475">
      <w:pPr>
        <w:pStyle w:val="prastasistinklapis"/>
        <w:tabs>
          <w:tab w:val="left" w:pos="1440"/>
        </w:tabs>
        <w:spacing w:before="0" w:beforeAutospacing="0" w:after="0" w:afterAutospacing="0" w:line="360" w:lineRule="auto"/>
        <w:jc w:val="both"/>
      </w:pPr>
      <w:r>
        <w:t xml:space="preserve">            2.3.Visuotinis dalininkų susirinkimas – aukščiausias Įstaigos valdymo organas. </w:t>
      </w:r>
    </w:p>
    <w:p w:rsidR="00314027" w:rsidRDefault="00314027" w:rsidP="00576475">
      <w:pPr>
        <w:pStyle w:val="prastasistinklapis"/>
        <w:tabs>
          <w:tab w:val="left" w:pos="1440"/>
        </w:tabs>
        <w:spacing w:before="0" w:beforeAutospacing="0" w:after="0" w:afterAutospacing="0" w:line="360" w:lineRule="auto"/>
        <w:jc w:val="both"/>
      </w:pPr>
      <w:r>
        <w:lastRenderedPageBreak/>
        <w:t xml:space="preserve">            2.4.Visuotinis dalininkų susirinkimas vykdo Įstatuose nurodytas funkcijas.</w:t>
      </w:r>
    </w:p>
    <w:p w:rsidR="00314027" w:rsidRDefault="00314027" w:rsidP="00314027">
      <w:pPr>
        <w:pStyle w:val="prastasistinklapis"/>
        <w:tabs>
          <w:tab w:val="left" w:pos="1440"/>
        </w:tabs>
        <w:spacing w:before="0" w:beforeAutospacing="0" w:after="0" w:afterAutospacing="0" w:line="360" w:lineRule="auto"/>
        <w:jc w:val="both"/>
      </w:pPr>
    </w:p>
    <w:p w:rsidR="00314027" w:rsidRDefault="00314027" w:rsidP="00314027">
      <w:pPr>
        <w:tabs>
          <w:tab w:val="left" w:pos="840"/>
        </w:tabs>
        <w:jc w:val="center"/>
        <w:rPr>
          <w:b/>
          <w:bCs/>
        </w:rPr>
      </w:pPr>
      <w:r>
        <w:rPr>
          <w:b/>
          <w:bCs/>
        </w:rPr>
        <w:t>III. ĮSTAIGOS VEIKLOS TIKSLAI, POBŪDIS, VEIKLOS REZULTATAI</w:t>
      </w:r>
    </w:p>
    <w:p w:rsidR="00B87BEE" w:rsidRDefault="00B87BEE" w:rsidP="00314027">
      <w:pPr>
        <w:tabs>
          <w:tab w:val="left" w:pos="840"/>
        </w:tabs>
        <w:jc w:val="center"/>
        <w:rPr>
          <w:b/>
          <w:bCs/>
        </w:rPr>
      </w:pPr>
    </w:p>
    <w:p w:rsidR="00314027" w:rsidRDefault="00B11382" w:rsidP="00314027">
      <w:pPr>
        <w:tabs>
          <w:tab w:val="left" w:pos="840"/>
        </w:tabs>
        <w:spacing w:line="360" w:lineRule="auto"/>
        <w:jc w:val="both"/>
        <w:rPr>
          <w:bCs/>
        </w:rPr>
      </w:pPr>
      <w:r>
        <w:rPr>
          <w:b/>
          <w:bCs/>
        </w:rPr>
        <w:t xml:space="preserve">      </w:t>
      </w:r>
      <w:r w:rsidR="00314027" w:rsidRPr="001E70BF">
        <w:rPr>
          <w:bCs/>
        </w:rPr>
        <w:t>Įstaigos veiklos</w:t>
      </w:r>
      <w:r w:rsidR="00314027">
        <w:rPr>
          <w:b/>
          <w:bCs/>
        </w:rPr>
        <w:t xml:space="preserve"> kryptys – </w:t>
      </w:r>
      <w:r w:rsidR="00314027" w:rsidRPr="001E70BF">
        <w:rPr>
          <w:bCs/>
        </w:rPr>
        <w:t>žmonių su proto negalia apgyvendinimas, savarankiškumo įgūdžių formavimas ir jų įtvirtinimas</w:t>
      </w:r>
      <w:r w:rsidR="00314027">
        <w:rPr>
          <w:bCs/>
        </w:rPr>
        <w:t xml:space="preserve">, užimtumo organizavimas . </w:t>
      </w:r>
    </w:p>
    <w:p w:rsidR="00314027" w:rsidRPr="001B2576" w:rsidRDefault="00314027" w:rsidP="00314027">
      <w:pPr>
        <w:tabs>
          <w:tab w:val="left" w:pos="840"/>
        </w:tabs>
        <w:spacing w:line="360" w:lineRule="auto"/>
        <w:jc w:val="both"/>
        <w:rPr>
          <w:bCs/>
        </w:rPr>
      </w:pPr>
      <w:r>
        <w:rPr>
          <w:bCs/>
        </w:rPr>
        <w:t xml:space="preserve">      </w:t>
      </w:r>
      <w:r w:rsidRPr="001E70BF">
        <w:rPr>
          <w:b/>
          <w:bCs/>
        </w:rPr>
        <w:t>Tikslas</w:t>
      </w:r>
      <w:r>
        <w:rPr>
          <w:b/>
          <w:bCs/>
        </w:rPr>
        <w:t xml:space="preserve"> – </w:t>
      </w:r>
      <w:r w:rsidRPr="001B2576">
        <w:rPr>
          <w:bCs/>
        </w:rPr>
        <w:t>teikti neįgaliesiems nuolatinio pobūdžio paslaugas, kurios atkurtų ar palaikytų neįgaliųjų socialinius ir savarankiško gyvenimo įgūdžius, didintų savarankiškumą ir užimtumą bei galimybes dalyvauti visuomenės gyvenime.</w:t>
      </w:r>
    </w:p>
    <w:p w:rsidR="00314027" w:rsidRDefault="00314027" w:rsidP="00314027">
      <w:pPr>
        <w:tabs>
          <w:tab w:val="left" w:pos="4200"/>
        </w:tabs>
        <w:spacing w:line="360" w:lineRule="auto"/>
        <w:jc w:val="both"/>
      </w:pPr>
      <w:r>
        <w:rPr>
          <w:b/>
          <w:bCs/>
        </w:rPr>
        <w:t xml:space="preserve">        </w:t>
      </w:r>
      <w:r>
        <w:t>Šiuo metu įstaigoje gyvena 20 neįgaliųjų, virš</w:t>
      </w:r>
      <w:r w:rsidR="00B87BEE">
        <w:t xml:space="preserve"> 18 metų, turinčių nuo 20 iki 50</w:t>
      </w:r>
      <w:r>
        <w:t xml:space="preserve"> proc. darbingumo lygio.  </w:t>
      </w:r>
    </w:p>
    <w:p w:rsidR="00314027" w:rsidRDefault="00314027" w:rsidP="00314027">
      <w:pPr>
        <w:tabs>
          <w:tab w:val="left" w:pos="4200"/>
        </w:tabs>
        <w:spacing w:line="360" w:lineRule="auto"/>
        <w:jc w:val="both"/>
      </w:pPr>
      <w:r>
        <w:t xml:space="preserve">       Įstaigos strateginiame plane  buvo numatytą apgyvendinti 20 neįgaliųj</w:t>
      </w:r>
      <w:r w:rsidR="00D31773">
        <w:t>ų, šis rezultatas yra pasiektas, ateityje planuojama įstai</w:t>
      </w:r>
      <w:r w:rsidR="00B314B0">
        <w:t>gą plėsti, kadangi yra poreikis.</w:t>
      </w:r>
    </w:p>
    <w:p w:rsidR="00314027" w:rsidRDefault="00314027" w:rsidP="00314027">
      <w:pPr>
        <w:tabs>
          <w:tab w:val="left" w:pos="4200"/>
        </w:tabs>
        <w:spacing w:line="360" w:lineRule="auto"/>
        <w:jc w:val="both"/>
      </w:pPr>
      <w:r>
        <w:t xml:space="preserve">    Viešosios įstaigos „Gyvenimo namų sutrikusio intelekto asmenims“ veiklą ir vykdomos priemonės buvo nukreiptos pagrindinio įstaigos tikslo ir uždavinių įgyvendinimui, vykdymui bei plėtojimui.</w:t>
      </w:r>
    </w:p>
    <w:p w:rsidR="00314027" w:rsidRDefault="001C737D" w:rsidP="00314027">
      <w:pPr>
        <w:tabs>
          <w:tab w:val="left" w:pos="4200"/>
        </w:tabs>
        <w:spacing w:line="360" w:lineRule="auto"/>
        <w:jc w:val="both"/>
      </w:pPr>
      <w:r>
        <w:t xml:space="preserve">     Įgyvendinant 2014</w:t>
      </w:r>
      <w:r w:rsidR="00314027">
        <w:t xml:space="preserve"> metų programą buvo užtikrinta nuol</w:t>
      </w:r>
      <w:r w:rsidR="00B314B0">
        <w:t>atinė įstaigos veikla: teikiama</w:t>
      </w:r>
      <w:r w:rsidR="00314027">
        <w:t xml:space="preserve"> asmeninio asistento paslauga, kiekvienam gyventojui pagal jo galimybes ir įvertintą poreikį organizuojamas socialinių</w:t>
      </w:r>
      <w:r w:rsidR="004E6E39">
        <w:t xml:space="preserve">, darbinių </w:t>
      </w:r>
      <w:r w:rsidR="00314027">
        <w:t xml:space="preserve"> ir savarankiškumo įgūdžių formavimas. </w:t>
      </w:r>
    </w:p>
    <w:p w:rsidR="00314027" w:rsidRPr="00387E3E" w:rsidRDefault="00314027" w:rsidP="0031402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Socialinis darbas orientuotas į produktyvių bei kokybiškų paslaugų teikimą čia gyvenantiems neįgaliesiems. Nuoširdžiu bendravimu kuriama draugiška atmosfera, įgyjamas gyventojų pasitikėjimas. Gyventojams sudarytos visos sąlygos gyventi kasdienį gyvenimą atsižvelgiant į jų sveikatos būklę ir savarankiškumo lygį.</w:t>
      </w:r>
      <w:r w:rsidRPr="00387E3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Savarankiškumo</w:t>
      </w:r>
      <w:r w:rsidR="004E6E39">
        <w:rPr>
          <w:rFonts w:eastAsiaTheme="minorHAnsi"/>
          <w:lang w:eastAsia="en-US"/>
        </w:rPr>
        <w:t xml:space="preserve"> įgūdžių</w:t>
      </w:r>
      <w:r>
        <w:rPr>
          <w:rFonts w:eastAsiaTheme="minorHAnsi"/>
          <w:lang w:eastAsia="en-US"/>
        </w:rPr>
        <w:t xml:space="preserve"> palaikymas neįgaliesiems yra vienas iš svarbiausių uždavinių.</w:t>
      </w:r>
      <w:r w:rsidRPr="00943060">
        <w:t xml:space="preserve"> </w:t>
      </w:r>
      <w:r>
        <w:t>20</w:t>
      </w:r>
      <w:r w:rsidRPr="007772CD">
        <w:t xml:space="preserve"> neįga</w:t>
      </w:r>
      <w:r>
        <w:t>liųjų su proto negalia gavo 7300</w:t>
      </w:r>
      <w:r w:rsidRPr="007772CD">
        <w:t xml:space="preserve"> paslaugų.</w:t>
      </w:r>
    </w:p>
    <w:p w:rsidR="00314027" w:rsidRDefault="00314027" w:rsidP="00314027">
      <w:pPr>
        <w:tabs>
          <w:tab w:val="left" w:pos="4200"/>
        </w:tabs>
        <w:spacing w:line="360" w:lineRule="auto"/>
        <w:jc w:val="both"/>
      </w:pPr>
      <w:r>
        <w:t>Atsižvelgiant į neįgaliųjų poreikius buvo organizuotos :</w:t>
      </w:r>
    </w:p>
    <w:p w:rsidR="00314027" w:rsidRDefault="00314027" w:rsidP="00314027">
      <w:pPr>
        <w:tabs>
          <w:tab w:val="left" w:pos="4200"/>
        </w:tabs>
        <w:spacing w:line="360" w:lineRule="auto"/>
        <w:jc w:val="both"/>
      </w:pPr>
      <w:r>
        <w:t xml:space="preserve">             Užimtumo, buitinių ir darbinių gebėjimų formavimo veiklos;</w:t>
      </w:r>
    </w:p>
    <w:p w:rsidR="00314027" w:rsidRDefault="00314027" w:rsidP="00314027">
      <w:pPr>
        <w:tabs>
          <w:tab w:val="left" w:pos="4200"/>
        </w:tabs>
        <w:spacing w:line="360" w:lineRule="auto"/>
        <w:jc w:val="both"/>
      </w:pPr>
      <w:r>
        <w:t xml:space="preserve">             1 dienos išvyką į Klaipėdos delfinariumą, Nidą;</w:t>
      </w:r>
    </w:p>
    <w:p w:rsidR="00314027" w:rsidRDefault="00314027" w:rsidP="00314027">
      <w:pPr>
        <w:tabs>
          <w:tab w:val="left" w:pos="4200"/>
        </w:tabs>
        <w:spacing w:line="360" w:lineRule="auto"/>
        <w:jc w:val="both"/>
      </w:pPr>
      <w:r>
        <w:t xml:space="preserve">             Įvairaus pobūdžio renginiai (kale</w:t>
      </w:r>
      <w:r w:rsidR="004E6E39">
        <w:t>ndorinės šventės, gimtadieniai,</w:t>
      </w:r>
      <w:r>
        <w:t xml:space="preserve"> susitikimas su psichologe,</w:t>
      </w:r>
      <w:r w:rsidR="004E6E39">
        <w:t xml:space="preserve"> lankomos parodos ir koncertai).</w:t>
      </w:r>
    </w:p>
    <w:p w:rsidR="00314027" w:rsidRDefault="00314027" w:rsidP="00314027">
      <w:pPr>
        <w:tabs>
          <w:tab w:val="left" w:pos="4200"/>
        </w:tabs>
        <w:spacing w:line="360" w:lineRule="auto"/>
        <w:jc w:val="both"/>
      </w:pPr>
      <w:r>
        <w:t xml:space="preserve">             Kiekvieną mėnesį vyko teminiai susirinkimai, kurių metu buvo kalbama apie bendravimo svarbą, savitvarkos ir higienos įgūdžius, elgesio ir bendravimo kultūrą, draugystę.</w:t>
      </w:r>
    </w:p>
    <w:p w:rsidR="00314027" w:rsidRDefault="00314027" w:rsidP="00314027">
      <w:pPr>
        <w:tabs>
          <w:tab w:val="left" w:pos="840"/>
        </w:tabs>
        <w:spacing w:line="360" w:lineRule="auto"/>
        <w:jc w:val="both"/>
        <w:rPr>
          <w:bCs/>
        </w:rPr>
      </w:pPr>
      <w:r w:rsidRPr="0006113A">
        <w:rPr>
          <w:bCs/>
        </w:rPr>
        <w:t xml:space="preserve">Įstaigos </w:t>
      </w:r>
      <w:r>
        <w:rPr>
          <w:bCs/>
        </w:rPr>
        <w:t>gyventojams organizuojamas maitinimas,  jie aprūpinami  būtiniausiomis asmens higienos priemonėmis, lovos skalbiniais.</w:t>
      </w:r>
    </w:p>
    <w:p w:rsidR="00314027" w:rsidRDefault="00314027" w:rsidP="00314027">
      <w:pPr>
        <w:tabs>
          <w:tab w:val="left" w:pos="840"/>
        </w:tabs>
        <w:spacing w:line="360" w:lineRule="auto"/>
        <w:jc w:val="both"/>
        <w:rPr>
          <w:bCs/>
        </w:rPr>
      </w:pPr>
    </w:p>
    <w:p w:rsidR="00B11382" w:rsidRDefault="00B11382" w:rsidP="00314027">
      <w:pPr>
        <w:tabs>
          <w:tab w:val="left" w:pos="840"/>
        </w:tabs>
        <w:spacing w:line="360" w:lineRule="auto"/>
        <w:jc w:val="both"/>
        <w:rPr>
          <w:bCs/>
        </w:rPr>
      </w:pPr>
    </w:p>
    <w:p w:rsidR="00C65E88" w:rsidRDefault="00C65E88" w:rsidP="00C65E88">
      <w:pPr>
        <w:tabs>
          <w:tab w:val="left" w:pos="840"/>
        </w:tabs>
        <w:rPr>
          <w:bCs/>
        </w:rPr>
      </w:pPr>
    </w:p>
    <w:p w:rsidR="0080233D" w:rsidRDefault="0080233D" w:rsidP="00C65E88">
      <w:pPr>
        <w:tabs>
          <w:tab w:val="left" w:pos="840"/>
        </w:tabs>
        <w:jc w:val="center"/>
        <w:rPr>
          <w:b/>
          <w:bCs/>
        </w:rPr>
      </w:pPr>
      <w:r>
        <w:rPr>
          <w:b/>
          <w:bCs/>
        </w:rPr>
        <w:lastRenderedPageBreak/>
        <w:t>IV. ŽMOGIŠKŲJŲ IŠTEKLIŲ VALDYMAS</w:t>
      </w:r>
    </w:p>
    <w:p w:rsidR="0080233D" w:rsidRDefault="0080233D" w:rsidP="0080233D">
      <w:pPr>
        <w:tabs>
          <w:tab w:val="left" w:pos="840"/>
        </w:tabs>
        <w:jc w:val="center"/>
        <w:rPr>
          <w:b/>
          <w:bCs/>
        </w:rPr>
      </w:pPr>
    </w:p>
    <w:p w:rsidR="0080233D" w:rsidRDefault="0080233D" w:rsidP="00AD4937">
      <w:pPr>
        <w:tabs>
          <w:tab w:val="left" w:pos="4200"/>
        </w:tabs>
        <w:spacing w:line="360" w:lineRule="auto"/>
        <w:ind w:firstLine="645"/>
        <w:jc w:val="both"/>
      </w:pPr>
      <w:proofErr w:type="spellStart"/>
      <w:r>
        <w:t>VšĮ</w:t>
      </w:r>
      <w:proofErr w:type="spellEnd"/>
      <w:r>
        <w:t xml:space="preserve"> „Gyvenimo namuose sutrikusio intelekto asmenims“ 2014 metais gyveno 20 neįgaliųjų, virš 18 metų, turinčių nuo 20 iki 50 proc. darbingumo lygio.  </w:t>
      </w:r>
    </w:p>
    <w:p w:rsidR="0080233D" w:rsidRDefault="0080233D" w:rsidP="0080233D">
      <w:pPr>
        <w:tabs>
          <w:tab w:val="left" w:pos="4200"/>
        </w:tabs>
        <w:jc w:val="both"/>
      </w:pP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1230"/>
        <w:gridCol w:w="3540"/>
        <w:gridCol w:w="2475"/>
        <w:gridCol w:w="2368"/>
      </w:tblGrid>
      <w:tr w:rsidR="0080233D" w:rsidTr="00DD427B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33D" w:rsidRDefault="0080233D" w:rsidP="00DD427B">
            <w:pPr>
              <w:tabs>
                <w:tab w:val="left" w:pos="840"/>
              </w:tabs>
              <w:jc w:val="both"/>
              <w:rPr>
                <w:bCs/>
              </w:rPr>
            </w:pPr>
            <w:r>
              <w:rPr>
                <w:bCs/>
              </w:rPr>
              <w:t>Metai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33D" w:rsidRDefault="0080233D" w:rsidP="00DD427B">
            <w:pPr>
              <w:tabs>
                <w:tab w:val="left" w:pos="840"/>
              </w:tabs>
              <w:jc w:val="both"/>
              <w:rPr>
                <w:bCs/>
              </w:rPr>
            </w:pPr>
            <w:r>
              <w:rPr>
                <w:bCs/>
              </w:rPr>
              <w:t>Neįgalus asmenys su proto negalia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33D" w:rsidRDefault="0080233D" w:rsidP="00DD427B">
            <w:pPr>
              <w:tabs>
                <w:tab w:val="left" w:pos="840"/>
              </w:tabs>
              <w:jc w:val="center"/>
              <w:rPr>
                <w:bCs/>
              </w:rPr>
            </w:pPr>
            <w:r>
              <w:rPr>
                <w:bCs/>
              </w:rPr>
              <w:t>Vyrai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33D" w:rsidRDefault="0080233D" w:rsidP="00DD427B">
            <w:pPr>
              <w:tabs>
                <w:tab w:val="left" w:pos="840"/>
              </w:tabs>
              <w:jc w:val="center"/>
            </w:pPr>
            <w:r>
              <w:rPr>
                <w:bCs/>
              </w:rPr>
              <w:t>Moteris</w:t>
            </w:r>
          </w:p>
        </w:tc>
      </w:tr>
      <w:tr w:rsidR="0080233D" w:rsidTr="00DD427B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33D" w:rsidRDefault="0080233D" w:rsidP="00DD427B">
            <w:pPr>
              <w:tabs>
                <w:tab w:val="left" w:pos="840"/>
              </w:tabs>
              <w:jc w:val="center"/>
              <w:rPr>
                <w:bCs/>
              </w:rPr>
            </w:pPr>
            <w:r>
              <w:rPr>
                <w:bCs/>
              </w:rPr>
              <w:t>2014 m.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33D" w:rsidRDefault="0080233D" w:rsidP="00DD427B">
            <w:pPr>
              <w:tabs>
                <w:tab w:val="left" w:pos="840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33D" w:rsidRDefault="0080233D" w:rsidP="00DD427B">
            <w:pPr>
              <w:tabs>
                <w:tab w:val="left" w:pos="840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33D" w:rsidRDefault="0080233D" w:rsidP="00DD427B">
            <w:pPr>
              <w:tabs>
                <w:tab w:val="left" w:pos="840"/>
              </w:tabs>
              <w:jc w:val="center"/>
            </w:pPr>
            <w:r>
              <w:rPr>
                <w:bCs/>
              </w:rPr>
              <w:t>9</w:t>
            </w:r>
          </w:p>
        </w:tc>
      </w:tr>
      <w:tr w:rsidR="0080233D" w:rsidTr="00DD427B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33D" w:rsidRDefault="0080233D" w:rsidP="00DD427B">
            <w:pPr>
              <w:tabs>
                <w:tab w:val="left" w:pos="84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33D" w:rsidRDefault="0080233D" w:rsidP="00DD427B">
            <w:pPr>
              <w:tabs>
                <w:tab w:val="left" w:pos="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Iš jų našlaičiai: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33D" w:rsidRDefault="0080233D" w:rsidP="00DD427B">
            <w:pPr>
              <w:tabs>
                <w:tab w:val="left" w:pos="84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33D" w:rsidRDefault="0080233D" w:rsidP="00DD427B">
            <w:pPr>
              <w:tabs>
                <w:tab w:val="left" w:pos="840"/>
              </w:tabs>
              <w:jc w:val="center"/>
            </w:pPr>
            <w:r>
              <w:rPr>
                <w:bCs/>
              </w:rPr>
              <w:t>5</w:t>
            </w:r>
          </w:p>
        </w:tc>
      </w:tr>
    </w:tbl>
    <w:p w:rsidR="0080233D" w:rsidRDefault="0080233D" w:rsidP="0080233D">
      <w:pPr>
        <w:pStyle w:val="ListParagraph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EE" w:rsidRDefault="0080233D" w:rsidP="00B87BEE">
      <w:pPr>
        <w:spacing w:line="360" w:lineRule="auto"/>
        <w:jc w:val="both"/>
      </w:pPr>
      <w:r>
        <w:t>Įstaigoje ataskaitinių metų pradžioje dirbo 2 darbuotojai pagal darbo sutartį, iš jų direktorius (1 eta</w:t>
      </w:r>
      <w:r w:rsidR="000D1699">
        <w:t>tas), finansininkas (0,5 etato).</w:t>
      </w:r>
      <w:r>
        <w:t xml:space="preserve"> </w:t>
      </w:r>
      <w:r w:rsidR="00B87BEE">
        <w:t xml:space="preserve">Darbuotojų išsilavinimas:  aukštasis universitetinis – 2. </w:t>
      </w:r>
    </w:p>
    <w:p w:rsidR="00B87BEE" w:rsidRDefault="00B87BEE" w:rsidP="00B87BEE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Kiti darbuotojai (9) dirbantis </w:t>
      </w:r>
      <w:proofErr w:type="spellStart"/>
      <w:r>
        <w:rPr>
          <w:rFonts w:ascii="Times New Roman" w:hAnsi="Times New Roman" w:cs="Times New Roman"/>
          <w:sz w:val="24"/>
          <w:szCs w:val="24"/>
        </w:rPr>
        <w:t>VšĮ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„Gyvenimo namuose sutrikusio intelekto asmenims“ yra įdarbinti sutrikusio intelekto žmonių globos bendrijoje „Kėdainių viltis“, socialinės reabilitacijos paslaugų neįgaliesiems bendruomenėje projekte. </w:t>
      </w:r>
    </w:p>
    <w:p w:rsidR="00B11382" w:rsidRDefault="00B11382" w:rsidP="00B87BEE">
      <w:pPr>
        <w:pStyle w:val="ListParagraph1"/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2014 metais darbuotojai nedalyvavo kvalifikacijos kėlimo kursuose ir seminaruose.</w:t>
      </w:r>
    </w:p>
    <w:p w:rsidR="0080233D" w:rsidRDefault="0080233D" w:rsidP="00AD4937">
      <w:pPr>
        <w:spacing w:line="360" w:lineRule="auto"/>
        <w:jc w:val="both"/>
      </w:pPr>
      <w:r>
        <w:t>Organizacinę struktūrą būtų galima apibūdinti taip:</w:t>
      </w:r>
    </w:p>
    <w:p w:rsidR="0080233D" w:rsidRDefault="0080233D" w:rsidP="00AD4937">
      <w:pPr>
        <w:pStyle w:val="ListParagraph1"/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direktorius atsakingas už įstaigos valdymą ir finansinę veiklą;</w:t>
      </w:r>
    </w:p>
    <w:p w:rsidR="0080233D" w:rsidRDefault="0080233D" w:rsidP="00AD4937">
      <w:pPr>
        <w:pStyle w:val="ListParagraph1"/>
        <w:spacing w:after="0" w:line="360" w:lineRule="auto"/>
        <w:ind w:firstLine="705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>– finansininkas atsakingas už įstaigos finansinę veiklą ir atskaitomybę</w:t>
      </w:r>
      <w:r w:rsidR="00B11382">
        <w:rPr>
          <w:rFonts w:ascii="Times New Roman" w:hAnsi="Times New Roman" w:cs="Times New Roman"/>
          <w:sz w:val="24"/>
          <w:szCs w:val="24"/>
        </w:rPr>
        <w:t>.</w:t>
      </w:r>
    </w:p>
    <w:p w:rsidR="00314027" w:rsidRDefault="00314027" w:rsidP="00314027">
      <w:pPr>
        <w:tabs>
          <w:tab w:val="left" w:pos="840"/>
        </w:tabs>
        <w:spacing w:line="360" w:lineRule="auto"/>
        <w:jc w:val="both"/>
        <w:rPr>
          <w:bCs/>
        </w:rPr>
      </w:pPr>
    </w:p>
    <w:p w:rsidR="00314027" w:rsidRPr="00F20B01" w:rsidRDefault="00314027" w:rsidP="00B11382">
      <w:pPr>
        <w:tabs>
          <w:tab w:val="left" w:pos="840"/>
        </w:tabs>
        <w:spacing w:line="360" w:lineRule="auto"/>
        <w:jc w:val="center"/>
        <w:rPr>
          <w:bCs/>
        </w:rPr>
      </w:pPr>
      <w:r w:rsidRPr="00F20B01">
        <w:rPr>
          <w:b/>
        </w:rPr>
        <w:t>V. FINANSINIŲ IŠTEKLIŲ VALDYMAS</w:t>
      </w:r>
    </w:p>
    <w:p w:rsidR="00314027" w:rsidRDefault="00314027" w:rsidP="00314027"/>
    <w:p w:rsidR="00314027" w:rsidRDefault="00314027" w:rsidP="00314027">
      <w:pPr>
        <w:tabs>
          <w:tab w:val="left" w:pos="3465"/>
        </w:tabs>
      </w:pPr>
      <w:r>
        <w:tab/>
        <w:t>Finansavimo</w:t>
      </w:r>
      <w:r w:rsidR="00280558">
        <w:t xml:space="preserve"> šaltiniai 2014</w:t>
      </w:r>
      <w:r>
        <w:t xml:space="preserve"> m.</w:t>
      </w:r>
    </w:p>
    <w:p w:rsidR="00314027" w:rsidRDefault="00314027" w:rsidP="00314027">
      <w:pPr>
        <w:tabs>
          <w:tab w:val="left" w:pos="3465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0"/>
        <w:gridCol w:w="4660"/>
        <w:gridCol w:w="2248"/>
        <w:gridCol w:w="2075"/>
      </w:tblGrid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  <w:jc w:val="center"/>
            </w:pPr>
            <w:r>
              <w:t>Eil.Nr.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  <w:jc w:val="center"/>
            </w:pPr>
            <w:r>
              <w:t>Lėšų šaltiniai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  <w:jc w:val="center"/>
            </w:pPr>
            <w:r>
              <w:t>Gauta (</w:t>
            </w:r>
            <w:proofErr w:type="spellStart"/>
            <w:r>
              <w:t>tūks.Lt</w:t>
            </w:r>
            <w:proofErr w:type="spellEnd"/>
            <w:r>
              <w:t>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  <w:jc w:val="center"/>
            </w:pPr>
            <w:r>
              <w:t>Išlaidos (</w:t>
            </w:r>
            <w:proofErr w:type="spellStart"/>
            <w:r>
              <w:t>tūks.Lt</w:t>
            </w:r>
            <w:proofErr w:type="spellEnd"/>
            <w:r>
              <w:t>)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  <w:jc w:val="center"/>
            </w:pPr>
            <w:r>
              <w:t>1.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</w:pPr>
            <w:r>
              <w:t>Kėdainių rajono savivaldybė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</w:pPr>
            <w:r>
              <w:t>54.0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</w:pPr>
            <w:r>
              <w:t>54.0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  <w:jc w:val="center"/>
            </w:pPr>
            <w:r>
              <w:t>2.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</w:pPr>
            <w:r>
              <w:t>Gyventojų įnašai 80 proc.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1C737D" w:rsidP="008A6E42">
            <w:pPr>
              <w:spacing w:line="100" w:lineRule="atLeast"/>
            </w:pPr>
            <w:r>
              <w:t>163,5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A95ADE" w:rsidP="008A6E42">
            <w:pPr>
              <w:spacing w:line="100" w:lineRule="atLeast"/>
            </w:pPr>
            <w:r>
              <w:t>170,0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  <w:jc w:val="center"/>
            </w:pPr>
            <w:r>
              <w:t>3.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</w:pPr>
            <w:r>
              <w:t>2 proc. pajamų mokesčio parama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280558" w:rsidP="008A6E42">
            <w:pPr>
              <w:spacing w:line="100" w:lineRule="atLeast"/>
            </w:pPr>
            <w:r>
              <w:t>1,4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280558" w:rsidP="008A6E42">
            <w:pPr>
              <w:spacing w:line="100" w:lineRule="atLeast"/>
            </w:pPr>
            <w:r>
              <w:t>0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  <w:jc w:val="center"/>
            </w:pPr>
            <w:r>
              <w:t>4.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</w:pPr>
            <w:r>
              <w:t>Valstybės dotacija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280558" w:rsidP="008A6E42">
            <w:pPr>
              <w:spacing w:line="100" w:lineRule="atLeast"/>
            </w:pPr>
            <w:r>
              <w:t>13,8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280558" w:rsidP="008A6E42">
            <w:pPr>
              <w:spacing w:line="100" w:lineRule="atLeast"/>
            </w:pPr>
            <w:r>
              <w:t>13,8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100" w:lineRule="atLeast"/>
              <w:jc w:val="center"/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tabs>
                <w:tab w:val="left" w:pos="3135"/>
              </w:tabs>
              <w:spacing w:line="100" w:lineRule="atLeast"/>
              <w:jc w:val="both"/>
              <w:rPr>
                <w:b/>
              </w:rPr>
            </w:pPr>
            <w:r>
              <w:tab/>
            </w:r>
            <w:r>
              <w:rPr>
                <w:b/>
              </w:rPr>
              <w:t>Iš viso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1C737D" w:rsidP="008A6E42">
            <w:pPr>
              <w:spacing w:line="100" w:lineRule="atLeast"/>
              <w:rPr>
                <w:b/>
              </w:rPr>
            </w:pPr>
            <w:r>
              <w:rPr>
                <w:b/>
              </w:rPr>
              <w:t>232,7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A95ADE" w:rsidP="008A6E42">
            <w:pPr>
              <w:spacing w:line="100" w:lineRule="atLeast"/>
              <w:rPr>
                <w:b/>
              </w:rPr>
            </w:pPr>
            <w:r>
              <w:rPr>
                <w:b/>
              </w:rPr>
              <w:t>237,8</w:t>
            </w:r>
          </w:p>
        </w:tc>
      </w:tr>
    </w:tbl>
    <w:p w:rsidR="00314027" w:rsidRDefault="00314027" w:rsidP="00314027">
      <w:pPr>
        <w:jc w:val="center"/>
      </w:pPr>
    </w:p>
    <w:p w:rsidR="00314027" w:rsidRDefault="00314027" w:rsidP="00314027">
      <w:pPr>
        <w:spacing w:line="340" w:lineRule="atLeast"/>
        <w:jc w:val="center"/>
      </w:pPr>
      <w:r>
        <w:t>Informacija</w:t>
      </w:r>
      <w:r w:rsidR="00280558">
        <w:t xml:space="preserve"> apie įstaigos išlaidas per 2014</w:t>
      </w:r>
      <w:r>
        <w:t xml:space="preserve"> metus</w:t>
      </w:r>
    </w:p>
    <w:p w:rsidR="00314027" w:rsidRDefault="00314027" w:rsidP="00314027">
      <w:pPr>
        <w:spacing w:line="340" w:lineRule="atLeast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0"/>
        <w:gridCol w:w="3506"/>
        <w:gridCol w:w="1563"/>
        <w:gridCol w:w="1958"/>
        <w:gridCol w:w="1957"/>
      </w:tblGrid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Eil.Nr.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Išlaidų pavadinimas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Patvirtintas planas su patikslinimais</w:t>
            </w:r>
          </w:p>
          <w:p w:rsidR="00314027" w:rsidRDefault="00314027" w:rsidP="008A6E42">
            <w:pPr>
              <w:spacing w:line="340" w:lineRule="atLeast"/>
              <w:jc w:val="center"/>
            </w:pPr>
            <w:r>
              <w:t>(</w:t>
            </w:r>
            <w:proofErr w:type="spellStart"/>
            <w:r>
              <w:t>tūks.Lt</w:t>
            </w:r>
            <w:proofErr w:type="spellEnd"/>
            <w:r>
              <w:t>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Gauti asignavimai</w:t>
            </w:r>
          </w:p>
          <w:p w:rsidR="00314027" w:rsidRDefault="00314027" w:rsidP="008A6E42">
            <w:pPr>
              <w:spacing w:line="340" w:lineRule="atLeast"/>
              <w:jc w:val="center"/>
            </w:pPr>
            <w:r>
              <w:t>(</w:t>
            </w:r>
            <w:proofErr w:type="spellStart"/>
            <w:r>
              <w:t>tūks.Lt</w:t>
            </w:r>
            <w:proofErr w:type="spellEnd"/>
            <w:r>
              <w:t>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Kasinės išlaidos</w:t>
            </w:r>
          </w:p>
          <w:p w:rsidR="00314027" w:rsidRDefault="00314027" w:rsidP="008A6E42">
            <w:pPr>
              <w:spacing w:line="340" w:lineRule="atLeast"/>
              <w:jc w:val="center"/>
            </w:pPr>
            <w:r>
              <w:t>(</w:t>
            </w:r>
            <w:proofErr w:type="spellStart"/>
            <w:r>
              <w:t>tūks.Lt</w:t>
            </w:r>
            <w:proofErr w:type="spellEnd"/>
            <w:r>
              <w:t>)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1.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</w:pPr>
            <w:r>
              <w:t>Darbo užmokestis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36,6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36,6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36,6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2.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</w:pPr>
            <w:r>
              <w:t>Socialinio draudimo įmokos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11,4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11,4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11,4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3.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</w:pPr>
            <w:r>
              <w:t>Mityba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76,0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76,0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76,0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4.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</w:pPr>
            <w:r>
              <w:t>Komunalinės išlaidos: iš jų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54.0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54.0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5</w:t>
            </w:r>
            <w:r w:rsidR="00280558">
              <w:t>9,8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</w:pPr>
            <w:r>
              <w:t>ryšių paslaugos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280558" w:rsidP="008A6E42">
            <w:pPr>
              <w:spacing w:line="340" w:lineRule="atLeast"/>
              <w:jc w:val="center"/>
            </w:pPr>
            <w:r>
              <w:t>1,5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280558" w:rsidP="008A6E42">
            <w:pPr>
              <w:spacing w:line="340" w:lineRule="atLeast"/>
              <w:jc w:val="center"/>
            </w:pPr>
            <w:r>
              <w:t>1,5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280558" w:rsidP="008A6E42">
            <w:pPr>
              <w:spacing w:line="340" w:lineRule="atLeast"/>
              <w:jc w:val="center"/>
            </w:pPr>
            <w:r>
              <w:t>1,5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</w:pPr>
            <w:r>
              <w:t>kitos prekės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280558" w:rsidP="008A6E42">
            <w:pPr>
              <w:spacing w:line="340" w:lineRule="atLeast"/>
              <w:jc w:val="center"/>
            </w:pPr>
            <w:r>
              <w:t>2,3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280558" w:rsidP="008A6E42">
            <w:pPr>
              <w:spacing w:line="340" w:lineRule="atLeast"/>
              <w:jc w:val="center"/>
            </w:pPr>
            <w:r>
              <w:t>2,3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280558" w:rsidP="008A6E42">
            <w:pPr>
              <w:spacing w:line="340" w:lineRule="atLeast"/>
              <w:jc w:val="center"/>
            </w:pPr>
            <w:r>
              <w:t>2,3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5.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</w:pPr>
            <w:r>
              <w:t>Higienos priemonės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9,6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9,6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9,6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6.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</w:pPr>
            <w:r>
              <w:t>Medikamentai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1,1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1,1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1,1</w:t>
            </w:r>
          </w:p>
        </w:tc>
      </w:tr>
      <w:tr w:rsidR="00314027" w:rsidTr="008A6E42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  <w:jc w:val="center"/>
            </w:pPr>
            <w:r>
              <w:t>7.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314027" w:rsidP="008A6E42">
            <w:pPr>
              <w:spacing w:line="340" w:lineRule="atLeast"/>
            </w:pPr>
            <w:r>
              <w:t>Kitos išlaidos</w:t>
            </w:r>
          </w:p>
          <w:p w:rsidR="00A95ADE" w:rsidRDefault="00A95ADE" w:rsidP="00A95ADE">
            <w:pPr>
              <w:spacing w:line="340" w:lineRule="atLeast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7" w:rsidRDefault="00A95ADE" w:rsidP="008A6E42">
            <w:pPr>
              <w:spacing w:line="340" w:lineRule="atLeast"/>
              <w:jc w:val="center"/>
            </w:pPr>
            <w:r>
              <w:t>39,5</w:t>
            </w:r>
          </w:p>
          <w:p w:rsidR="00A95ADE" w:rsidRDefault="00A95ADE" w:rsidP="008A6E42">
            <w:pPr>
              <w:spacing w:line="340" w:lineRule="atLeast"/>
              <w:jc w:val="center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ADE" w:rsidRDefault="00A95ADE" w:rsidP="008A6E42">
            <w:pPr>
              <w:spacing w:line="340" w:lineRule="atLeast"/>
              <w:jc w:val="center"/>
            </w:pPr>
            <w:r>
              <w:t>39,5</w:t>
            </w:r>
          </w:p>
          <w:p w:rsidR="00314027" w:rsidRPr="00A95ADE" w:rsidRDefault="00314027" w:rsidP="00A95ADE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ADE" w:rsidRDefault="00A95ADE" w:rsidP="008A6E42">
            <w:pPr>
              <w:spacing w:line="340" w:lineRule="atLeast"/>
              <w:jc w:val="center"/>
            </w:pPr>
            <w:r>
              <w:t>39,5</w:t>
            </w:r>
          </w:p>
          <w:p w:rsidR="00314027" w:rsidRPr="00A95ADE" w:rsidRDefault="00314027" w:rsidP="00A95ADE">
            <w:pPr>
              <w:jc w:val="center"/>
            </w:pPr>
          </w:p>
        </w:tc>
      </w:tr>
    </w:tbl>
    <w:p w:rsidR="00314027" w:rsidRDefault="00314027" w:rsidP="00314027">
      <w:pPr>
        <w:tabs>
          <w:tab w:val="left" w:pos="840"/>
        </w:tabs>
        <w:jc w:val="center"/>
        <w:rPr>
          <w:b/>
          <w:bCs/>
        </w:rPr>
      </w:pPr>
    </w:p>
    <w:p w:rsidR="00314027" w:rsidRDefault="00AD4937" w:rsidP="00314027">
      <w:pPr>
        <w:spacing w:line="360" w:lineRule="auto"/>
        <w:jc w:val="both"/>
      </w:pPr>
      <w:r>
        <w:t xml:space="preserve">   </w:t>
      </w:r>
      <w:r w:rsidR="00314027">
        <w:t>Vieno gyventojo išlaikymas per mėnesį kainuoja – 2015,00 Lt, dienos maitinimo norma – 9,50 Lt ( kainos patvirtintos dalininkų susirinkimo metu).</w:t>
      </w:r>
    </w:p>
    <w:p w:rsidR="00314027" w:rsidRDefault="00314027" w:rsidP="00314027">
      <w:pPr>
        <w:tabs>
          <w:tab w:val="left" w:pos="4200"/>
        </w:tabs>
        <w:spacing w:line="360" w:lineRule="auto"/>
        <w:jc w:val="both"/>
      </w:pPr>
      <w:r>
        <w:t xml:space="preserve"> Per 2014 metus Viešoji įstaiga „Gyvenimo namai sutrikusio intelekto asmenims“ neįsigijo ir neperleido jokio ilgalaikio turto . </w:t>
      </w:r>
    </w:p>
    <w:p w:rsidR="00314027" w:rsidRDefault="00314027" w:rsidP="00314027">
      <w:pPr>
        <w:tabs>
          <w:tab w:val="left" w:pos="4200"/>
        </w:tabs>
        <w:spacing w:line="360" w:lineRule="auto"/>
        <w:jc w:val="both"/>
      </w:pPr>
      <w:r>
        <w:t xml:space="preserve">    Siekiant tenkinti kokybiškas socialines paslaugas, svarbu užtikrinti gerą mate</w:t>
      </w:r>
      <w:r w:rsidR="00B87BEE">
        <w:t xml:space="preserve">rialinės bazės būklę įstaigoje, </w:t>
      </w:r>
      <w:r>
        <w:t>sudaryti geresnes sąlygas gyventojų poreikių tenkinimui, suteikiama galimybė neįgaliesiems gyventi ir gauti paslaugas, neišvykstant iš savo gyvenamosios vietos.</w:t>
      </w:r>
    </w:p>
    <w:p w:rsidR="00314027" w:rsidRDefault="00314027" w:rsidP="00314027">
      <w:pPr>
        <w:spacing w:line="360" w:lineRule="auto"/>
        <w:jc w:val="both"/>
      </w:pPr>
    </w:p>
    <w:p w:rsidR="00314027" w:rsidRPr="00B11382" w:rsidRDefault="00314027" w:rsidP="00B11382">
      <w:pPr>
        <w:tabs>
          <w:tab w:val="left" w:pos="4200"/>
        </w:tabs>
        <w:jc w:val="center"/>
      </w:pPr>
      <w:r>
        <w:rPr>
          <w:b/>
          <w:bCs/>
        </w:rPr>
        <w:t>V</w:t>
      </w:r>
      <w:r w:rsidR="0080233D">
        <w:rPr>
          <w:b/>
          <w:bCs/>
        </w:rPr>
        <w:t>I</w:t>
      </w:r>
      <w:r>
        <w:rPr>
          <w:b/>
          <w:bCs/>
        </w:rPr>
        <w:t>. DUOMENYS APIE ĮSTAIGOS VADOVĄ</w:t>
      </w:r>
    </w:p>
    <w:p w:rsidR="00314027" w:rsidRDefault="00314027" w:rsidP="00314027">
      <w:pPr>
        <w:tabs>
          <w:tab w:val="left" w:pos="840"/>
        </w:tabs>
        <w:jc w:val="center"/>
        <w:rPr>
          <w:b/>
          <w:bCs/>
        </w:rPr>
      </w:pPr>
    </w:p>
    <w:p w:rsidR="00314027" w:rsidRDefault="00314027" w:rsidP="00314027">
      <w:pPr>
        <w:tabs>
          <w:tab w:val="left" w:pos="840"/>
          <w:tab w:val="left" w:pos="2500"/>
        </w:tabs>
        <w:spacing w:line="360" w:lineRule="auto"/>
        <w:jc w:val="both"/>
        <w:rPr>
          <w:bCs/>
        </w:rPr>
      </w:pPr>
      <w:r>
        <w:rPr>
          <w:b/>
          <w:bCs/>
        </w:rPr>
        <w:tab/>
      </w:r>
      <w:proofErr w:type="spellStart"/>
      <w:r w:rsidRPr="00D60F07">
        <w:rPr>
          <w:bCs/>
        </w:rPr>
        <w:t>VšĮ</w:t>
      </w:r>
      <w:proofErr w:type="spellEnd"/>
      <w:r w:rsidRPr="00D60F07">
        <w:rPr>
          <w:bCs/>
        </w:rPr>
        <w:t xml:space="preserve"> „Gyvenimo namų sutrikusio intelekto asmenims“</w:t>
      </w:r>
      <w:r>
        <w:rPr>
          <w:bCs/>
        </w:rPr>
        <w:t xml:space="preserve"> direktorė – Asta </w:t>
      </w:r>
      <w:proofErr w:type="spellStart"/>
      <w:r>
        <w:rPr>
          <w:bCs/>
        </w:rPr>
        <w:t>Rekštienė</w:t>
      </w:r>
      <w:proofErr w:type="spellEnd"/>
      <w:r>
        <w:rPr>
          <w:bCs/>
        </w:rPr>
        <w:t>.</w:t>
      </w:r>
    </w:p>
    <w:p w:rsidR="00314027" w:rsidRDefault="00314027" w:rsidP="00314027">
      <w:pPr>
        <w:spacing w:line="360" w:lineRule="auto"/>
        <w:jc w:val="both"/>
      </w:pPr>
      <w:r>
        <w:rPr>
          <w:bCs/>
        </w:rPr>
        <w:t xml:space="preserve">             Kontaktai : </w:t>
      </w:r>
      <w:proofErr w:type="spellStart"/>
      <w:r>
        <w:rPr>
          <w:bCs/>
        </w:rPr>
        <w:t>el.p</w:t>
      </w:r>
      <w:proofErr w:type="spellEnd"/>
      <w:r>
        <w:rPr>
          <w:bCs/>
        </w:rPr>
        <w:t xml:space="preserve">.  </w:t>
      </w:r>
      <w:hyperlink r:id="rId7" w:history="1">
        <w:r w:rsidRPr="000146EA">
          <w:rPr>
            <w:rStyle w:val="Hipersaitas"/>
            <w:bCs/>
          </w:rPr>
          <w:t>rekstiene.asta</w:t>
        </w:r>
        <w:r w:rsidRPr="000146EA">
          <w:rPr>
            <w:rStyle w:val="Hipersaitas"/>
          </w:rPr>
          <w:t>@gmail.com</w:t>
        </w:r>
      </w:hyperlink>
      <w:r>
        <w:t>, tel. (8 347)</w:t>
      </w:r>
      <w:r w:rsidR="001C737D">
        <w:t xml:space="preserve"> </w:t>
      </w:r>
      <w:r>
        <w:t>50615.</w:t>
      </w:r>
    </w:p>
    <w:p w:rsidR="00AD4937" w:rsidRDefault="00AD4937" w:rsidP="00AD4937">
      <w:pPr>
        <w:pStyle w:val="ListParagraph1"/>
        <w:spacing w:after="0" w:line="240" w:lineRule="auto"/>
        <w:ind w:firstLine="705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Įstaigos direktoriaus darbo užmokesčiui panaudota 23528,41 Lt. </w:t>
      </w:r>
    </w:p>
    <w:p w:rsidR="00314027" w:rsidRDefault="00314027" w:rsidP="00314027">
      <w:pPr>
        <w:tabs>
          <w:tab w:val="left" w:pos="840"/>
        </w:tabs>
        <w:spacing w:line="360" w:lineRule="auto"/>
        <w:jc w:val="both"/>
        <w:rPr>
          <w:b/>
          <w:bCs/>
        </w:rPr>
      </w:pPr>
    </w:p>
    <w:p w:rsidR="00314027" w:rsidRDefault="00314027" w:rsidP="00314027">
      <w:pPr>
        <w:tabs>
          <w:tab w:val="left" w:pos="2649"/>
        </w:tabs>
        <w:jc w:val="center"/>
        <w:rPr>
          <w:b/>
        </w:rPr>
      </w:pPr>
      <w:r>
        <w:rPr>
          <w:b/>
        </w:rPr>
        <w:t>VI</w:t>
      </w:r>
      <w:r w:rsidR="0080233D">
        <w:rPr>
          <w:b/>
        </w:rPr>
        <w:t>I</w:t>
      </w:r>
      <w:r>
        <w:rPr>
          <w:b/>
        </w:rPr>
        <w:t xml:space="preserve">. </w:t>
      </w:r>
      <w:r w:rsidRPr="00420213">
        <w:rPr>
          <w:b/>
        </w:rPr>
        <w:t>ĮSTAIGOS DALYVAVIMAS PROJEKTUOSE IR PROGRAMOSE</w:t>
      </w:r>
    </w:p>
    <w:p w:rsidR="00314027" w:rsidRPr="00420213" w:rsidRDefault="00314027" w:rsidP="00314027">
      <w:pPr>
        <w:jc w:val="center"/>
      </w:pPr>
    </w:p>
    <w:p w:rsidR="00314027" w:rsidRPr="00420213" w:rsidRDefault="00314027" w:rsidP="00314027">
      <w:pPr>
        <w:spacing w:line="360" w:lineRule="auto"/>
        <w:jc w:val="both"/>
      </w:pPr>
      <w:r>
        <w:t>Viešoji įstaiga „ Gyvenimo namai sut</w:t>
      </w:r>
      <w:r w:rsidR="001C737D">
        <w:t>rikusio intelekto asmenims“ 2014</w:t>
      </w:r>
      <w:r>
        <w:t xml:space="preserve"> metais dalyvavo projektuose: </w:t>
      </w:r>
      <w:r w:rsidR="00A95ADE">
        <w:t>S</w:t>
      </w:r>
      <w:r>
        <w:t xml:space="preserve">utrikusio intelekto žmonių globos bendrijos „Kėdainių viltis“ projekte, Kauno kolegijos Kėdainių J.Radvilos studijų centro socialinės pedagogikos studenčių projekte „ Teorinių žinių taikymas praktikoje“. </w:t>
      </w:r>
    </w:p>
    <w:p w:rsidR="00314027" w:rsidRDefault="00314027" w:rsidP="00314027">
      <w:pPr>
        <w:spacing w:line="360" w:lineRule="auto"/>
        <w:jc w:val="both"/>
      </w:pPr>
      <w:r>
        <w:t xml:space="preserve">Bendradarbiaujame su Kėdainių specialiąją mokykla, , Kėdainių bendruomenės centro socialinių paslaugų neįgaliesiems padalinių, Klaipėdos </w:t>
      </w:r>
      <w:proofErr w:type="spellStart"/>
      <w:r>
        <w:t>VšĮ</w:t>
      </w:r>
      <w:proofErr w:type="spellEnd"/>
      <w:r>
        <w:t xml:space="preserve"> „Gyvenimo namais“, labdaros ir paramos fondu „Maisto bankas“, </w:t>
      </w:r>
      <w:r w:rsidRPr="007772CD">
        <w:t>Kėdainių pirminės sveikatos priežiūros centru</w:t>
      </w:r>
      <w:r>
        <w:t>,</w:t>
      </w:r>
      <w:r w:rsidRPr="006B7A95">
        <w:t xml:space="preserve"> </w:t>
      </w:r>
      <w:r w:rsidRPr="007772CD">
        <w:t>Lietuvos sutrikusio intelekto žmonių globos bendrija „Viltis“</w:t>
      </w:r>
      <w:r w:rsidR="00B87BEE">
        <w:t>, paramos ir labdaros fondu „Viltis- Vikonda“</w:t>
      </w:r>
      <w:r w:rsidR="00C65E88">
        <w:t xml:space="preserve">, </w:t>
      </w:r>
      <w:proofErr w:type="spellStart"/>
      <w:r w:rsidR="00B11382">
        <w:t>VšĮ</w:t>
      </w:r>
      <w:proofErr w:type="spellEnd"/>
      <w:r w:rsidR="00B11382">
        <w:t xml:space="preserve"> Raseinių dienos centru „Vilties takas“.</w:t>
      </w:r>
    </w:p>
    <w:p w:rsidR="00B11382" w:rsidRDefault="00B11382" w:rsidP="00B11382">
      <w:pPr>
        <w:tabs>
          <w:tab w:val="left" w:pos="2785"/>
        </w:tabs>
      </w:pPr>
    </w:p>
    <w:p w:rsidR="00314027" w:rsidRDefault="00314027" w:rsidP="00B11382">
      <w:pPr>
        <w:tabs>
          <w:tab w:val="left" w:pos="2785"/>
        </w:tabs>
        <w:jc w:val="center"/>
        <w:rPr>
          <w:b/>
        </w:rPr>
      </w:pPr>
      <w:r w:rsidRPr="009C7275">
        <w:rPr>
          <w:b/>
        </w:rPr>
        <w:t>VII</w:t>
      </w:r>
      <w:r w:rsidR="0080233D">
        <w:rPr>
          <w:b/>
        </w:rPr>
        <w:t>I</w:t>
      </w:r>
      <w:r w:rsidRPr="009C7275">
        <w:rPr>
          <w:b/>
        </w:rPr>
        <w:t>.</w:t>
      </w:r>
      <w:r>
        <w:t xml:space="preserve"> </w:t>
      </w:r>
      <w:r w:rsidRPr="00420213">
        <w:rPr>
          <w:b/>
        </w:rPr>
        <w:t>ĮSTAIGOS PROBLEMOS</w:t>
      </w:r>
    </w:p>
    <w:p w:rsidR="00A06FC2" w:rsidRDefault="00A06FC2" w:rsidP="00B11382">
      <w:pPr>
        <w:spacing w:line="360" w:lineRule="auto"/>
        <w:jc w:val="both"/>
      </w:pPr>
    </w:p>
    <w:p w:rsidR="00314027" w:rsidRDefault="001C737D" w:rsidP="00314027">
      <w:pPr>
        <w:spacing w:line="360" w:lineRule="auto"/>
        <w:ind w:firstLine="709"/>
        <w:jc w:val="both"/>
      </w:pPr>
      <w:r>
        <w:t>2014</w:t>
      </w:r>
      <w:r w:rsidR="00314027">
        <w:t xml:space="preserve"> m. iš Kėdainių rajono savivaldybės gauta 54 </w:t>
      </w:r>
      <w:proofErr w:type="spellStart"/>
      <w:r w:rsidR="00314027">
        <w:t>tūks</w:t>
      </w:r>
      <w:proofErr w:type="spellEnd"/>
      <w:r w:rsidR="00314027">
        <w:t xml:space="preserve">. litų asignavimų savarankiškoms funkcijoms atlikti. Sutrikusio intelekto žmonių globos bendrija „Kėdainių viltis“ Kėdainių rajono savivaldybei teikia „Socialinės reabilitacijos paslaugų neįgaliesiems bendruomenėje“ projektą ir </w:t>
      </w:r>
      <w:r w:rsidR="00314027">
        <w:lastRenderedPageBreak/>
        <w:t>iš Neįgaliųjų reikalų depart</w:t>
      </w:r>
      <w:r>
        <w:t>amento prie SADM gavo 130</w:t>
      </w:r>
      <w:r w:rsidR="00314027">
        <w:t xml:space="preserve"> </w:t>
      </w:r>
      <w:proofErr w:type="spellStart"/>
      <w:r w:rsidR="00314027">
        <w:t>tūks</w:t>
      </w:r>
      <w:proofErr w:type="spellEnd"/>
      <w:r w:rsidR="00314027">
        <w:t xml:space="preserve">. litų. </w:t>
      </w:r>
      <w:r w:rsidR="00A06FC2">
        <w:t>Kiekvienais metais gaunamos lėšos iš projekto nėra stabilios, trūk</w:t>
      </w:r>
      <w:r w:rsidR="0092033D">
        <w:t>sta lėšų darbuotojų darbo užmokesčiui.</w:t>
      </w:r>
    </w:p>
    <w:p w:rsidR="00A06FC2" w:rsidRDefault="00A06FC2" w:rsidP="00314027">
      <w:pPr>
        <w:spacing w:line="360" w:lineRule="auto"/>
        <w:ind w:firstLine="709"/>
        <w:jc w:val="both"/>
      </w:pPr>
      <w:r>
        <w:t>Dėl lėšų trūkumo nėra galimybių  darbuotojams sudaryti sąlygas kelti kvalifikaciją ir tobulintis.</w:t>
      </w:r>
    </w:p>
    <w:p w:rsidR="00314027" w:rsidRPr="00A06FC2" w:rsidRDefault="00A06FC2" w:rsidP="00314027">
      <w:pPr>
        <w:tabs>
          <w:tab w:val="left" w:pos="2785"/>
        </w:tabs>
      </w:pPr>
      <w:r>
        <w:rPr>
          <w:b/>
        </w:rPr>
        <w:t xml:space="preserve">   </w:t>
      </w:r>
    </w:p>
    <w:p w:rsidR="00314027" w:rsidRPr="00943060" w:rsidRDefault="00314027" w:rsidP="00314027"/>
    <w:p w:rsidR="00314027" w:rsidRPr="00576475" w:rsidRDefault="00576475" w:rsidP="00576475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14027" w:rsidRDefault="00314027" w:rsidP="00314027"/>
    <w:p w:rsidR="002134CA" w:rsidRDefault="006A4A52"/>
    <w:sectPr w:rsidR="002134CA" w:rsidSect="0057647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52" w:rsidRDefault="006A4A52" w:rsidP="00A06FC2">
      <w:r>
        <w:separator/>
      </w:r>
    </w:p>
  </w:endnote>
  <w:endnote w:type="continuationSeparator" w:id="0">
    <w:p w:rsidR="006A4A52" w:rsidRDefault="006A4A52" w:rsidP="00A0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52" w:rsidRDefault="006A4A52" w:rsidP="00A06FC2">
      <w:r>
        <w:separator/>
      </w:r>
    </w:p>
  </w:footnote>
  <w:footnote w:type="continuationSeparator" w:id="0">
    <w:p w:rsidR="006A4A52" w:rsidRDefault="006A4A52" w:rsidP="00A06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27"/>
    <w:rsid w:val="000D1699"/>
    <w:rsid w:val="001C737D"/>
    <w:rsid w:val="00225D69"/>
    <w:rsid w:val="00280558"/>
    <w:rsid w:val="00314027"/>
    <w:rsid w:val="00413078"/>
    <w:rsid w:val="00437CBD"/>
    <w:rsid w:val="004E5035"/>
    <w:rsid w:val="004E6E39"/>
    <w:rsid w:val="00575764"/>
    <w:rsid w:val="00576475"/>
    <w:rsid w:val="005E64BB"/>
    <w:rsid w:val="006428A8"/>
    <w:rsid w:val="00665501"/>
    <w:rsid w:val="006A4A52"/>
    <w:rsid w:val="007C33B9"/>
    <w:rsid w:val="0080233D"/>
    <w:rsid w:val="00894E7D"/>
    <w:rsid w:val="0092033D"/>
    <w:rsid w:val="009358A1"/>
    <w:rsid w:val="00A06FC2"/>
    <w:rsid w:val="00A95ADE"/>
    <w:rsid w:val="00AA2288"/>
    <w:rsid w:val="00AC325A"/>
    <w:rsid w:val="00AD4937"/>
    <w:rsid w:val="00B11382"/>
    <w:rsid w:val="00B314B0"/>
    <w:rsid w:val="00B87BEE"/>
    <w:rsid w:val="00BE7072"/>
    <w:rsid w:val="00C65E88"/>
    <w:rsid w:val="00C93DD5"/>
    <w:rsid w:val="00D31773"/>
    <w:rsid w:val="00DC5A9E"/>
    <w:rsid w:val="00E013FC"/>
    <w:rsid w:val="00F02277"/>
    <w:rsid w:val="00F2518D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4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314027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prastasistinklapis">
    <w:name w:val="Normal (Web)"/>
    <w:basedOn w:val="prastasis"/>
    <w:semiHidden/>
    <w:unhideWhenUsed/>
    <w:rsid w:val="00314027"/>
    <w:pPr>
      <w:spacing w:before="100" w:beforeAutospacing="1" w:after="100" w:afterAutospacing="1"/>
    </w:pPr>
    <w:rPr>
      <w:rFonts w:eastAsia="Calibri"/>
    </w:rPr>
  </w:style>
  <w:style w:type="character" w:styleId="Hipersaitas">
    <w:name w:val="Hyperlink"/>
    <w:basedOn w:val="Numatytasispastraiposriftas"/>
    <w:uiPriority w:val="99"/>
    <w:unhideWhenUsed/>
    <w:rsid w:val="00314027"/>
    <w:rPr>
      <w:color w:val="0000FF" w:themeColor="hyperlink"/>
      <w:u w:val="single"/>
    </w:rPr>
  </w:style>
  <w:style w:type="paragraph" w:customStyle="1" w:styleId="ListParagraph1">
    <w:name w:val="List Paragraph1"/>
    <w:basedOn w:val="prastasis"/>
    <w:rsid w:val="0080233D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06F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06FC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A06F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06FC2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14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314027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prastasistinklapis">
    <w:name w:val="Normal (Web)"/>
    <w:basedOn w:val="prastasis"/>
    <w:semiHidden/>
    <w:unhideWhenUsed/>
    <w:rsid w:val="00314027"/>
    <w:pPr>
      <w:spacing w:before="100" w:beforeAutospacing="1" w:after="100" w:afterAutospacing="1"/>
    </w:pPr>
    <w:rPr>
      <w:rFonts w:eastAsia="Calibri"/>
    </w:rPr>
  </w:style>
  <w:style w:type="character" w:styleId="Hipersaitas">
    <w:name w:val="Hyperlink"/>
    <w:basedOn w:val="Numatytasispastraiposriftas"/>
    <w:uiPriority w:val="99"/>
    <w:unhideWhenUsed/>
    <w:rsid w:val="00314027"/>
    <w:rPr>
      <w:color w:val="0000FF" w:themeColor="hyperlink"/>
      <w:u w:val="single"/>
    </w:rPr>
  </w:style>
  <w:style w:type="paragraph" w:customStyle="1" w:styleId="ListParagraph1">
    <w:name w:val="List Paragraph1"/>
    <w:basedOn w:val="prastasis"/>
    <w:rsid w:val="0080233D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06F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06FC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A06F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06FC2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stiene.ast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5322</Words>
  <Characters>3035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M58p</dc:creator>
  <cp:lastModifiedBy>Vartotojas</cp:lastModifiedBy>
  <cp:revision>5</cp:revision>
  <dcterms:created xsi:type="dcterms:W3CDTF">2015-03-09T11:10:00Z</dcterms:created>
  <dcterms:modified xsi:type="dcterms:W3CDTF">2015-03-20T09:10:00Z</dcterms:modified>
</cp:coreProperties>
</file>